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F9647EF">
      <w:pPr>
        <w:pStyle w:val="18"/>
        <w:jc w:val="center"/>
        <w:rPr>
          <w:rFonts w:hint="eastAsia" w:ascii="宋体" w:hAnsi="宋体" w:eastAsia="宋体"/>
          <w:b/>
          <w:color w:val="auto"/>
          <w:sz w:val="36"/>
          <w:szCs w:val="36"/>
          <w:highlight w:val="none"/>
          <w:lang w:eastAsia="zh-CN"/>
        </w:rPr>
      </w:pPr>
    </w:p>
    <w:p w14:paraId="564D4E92">
      <w:pPr>
        <w:pStyle w:val="18"/>
        <w:jc w:val="center"/>
        <w:rPr>
          <w:rFonts w:hint="default"/>
          <w:color w:val="auto"/>
          <w:highlight w:val="none"/>
          <w:lang w:val="en-US" w:eastAsia="zh-CN"/>
        </w:rPr>
      </w:pPr>
      <w:r>
        <w:rPr>
          <w:rFonts w:hint="eastAsia" w:ascii="宋体" w:hAnsi="宋体" w:eastAsia="宋体"/>
          <w:b/>
          <w:color w:val="auto"/>
          <w:sz w:val="36"/>
          <w:szCs w:val="36"/>
          <w:highlight w:val="none"/>
          <w:lang w:eastAsia="zh-CN"/>
        </w:rPr>
        <w:t>浙江青田抽水蓄能电站项目筹建期工程设计-采购-施工总承包（EPC）</w:t>
      </w:r>
      <w:r>
        <w:rPr>
          <w:rFonts w:hint="eastAsia" w:ascii="宋体" w:hAnsi="宋体" w:eastAsia="宋体"/>
          <w:b/>
          <w:color w:val="auto"/>
          <w:sz w:val="36"/>
          <w:szCs w:val="36"/>
          <w:highlight w:val="none"/>
          <w:lang w:val="en-US" w:eastAsia="zh-CN"/>
        </w:rPr>
        <w:t>安全文明设施采购</w:t>
      </w:r>
    </w:p>
    <w:p w14:paraId="7EDB8AE1">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询</w:t>
      </w:r>
      <w:bookmarkStart w:id="299" w:name="_GoBack"/>
      <w:bookmarkEnd w:id="299"/>
    </w:p>
    <w:p w14:paraId="02B33C61">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比</w:t>
      </w:r>
    </w:p>
    <w:p w14:paraId="65B7D2A2">
      <w:pPr>
        <w:spacing w:line="1120" w:lineRule="exact"/>
        <w:jc w:val="center"/>
        <w:rPr>
          <w:rFonts w:hint="eastAsia" w:ascii="宋体" w:hAnsi="宋体"/>
          <w:b/>
          <w:bCs/>
          <w:color w:val="auto"/>
          <w:sz w:val="72"/>
          <w:szCs w:val="72"/>
          <w:highlight w:val="none"/>
        </w:rPr>
      </w:pPr>
      <w:r>
        <w:rPr>
          <w:rFonts w:hint="eastAsia" w:ascii="宋体" w:hAnsi="宋体"/>
          <w:b/>
          <w:bCs/>
          <w:color w:val="auto"/>
          <w:sz w:val="72"/>
          <w:szCs w:val="72"/>
          <w:highlight w:val="none"/>
        </w:rPr>
        <w:t>采</w:t>
      </w:r>
    </w:p>
    <w:p w14:paraId="7CF3432E">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购</w:t>
      </w:r>
    </w:p>
    <w:p w14:paraId="5F5F2D9D">
      <w:pPr>
        <w:spacing w:line="1120" w:lineRule="exact"/>
        <w:jc w:val="center"/>
        <w:rPr>
          <w:rFonts w:ascii="宋体" w:hAnsi="宋体"/>
          <w:b/>
          <w:bCs/>
          <w:color w:val="auto"/>
          <w:sz w:val="72"/>
          <w:szCs w:val="72"/>
          <w:highlight w:val="none"/>
        </w:rPr>
      </w:pPr>
      <w:r>
        <w:rPr>
          <w:rFonts w:hint="eastAsia" w:ascii="宋体" w:hAnsi="宋体"/>
          <w:b/>
          <w:bCs/>
          <w:color w:val="auto"/>
          <w:sz w:val="72"/>
          <w:szCs w:val="72"/>
          <w:highlight w:val="none"/>
        </w:rPr>
        <w:t>文</w:t>
      </w:r>
    </w:p>
    <w:p w14:paraId="32EB5D80">
      <w:pPr>
        <w:spacing w:line="1120" w:lineRule="exact"/>
        <w:jc w:val="center"/>
        <w:rPr>
          <w:rFonts w:ascii="宋体" w:hAnsi="宋体"/>
          <w:bCs/>
          <w:color w:val="auto"/>
          <w:sz w:val="72"/>
          <w:szCs w:val="72"/>
          <w:highlight w:val="none"/>
        </w:rPr>
      </w:pPr>
      <w:r>
        <w:rPr>
          <w:rFonts w:hint="eastAsia" w:ascii="宋体" w:hAnsi="宋体"/>
          <w:b/>
          <w:bCs/>
          <w:color w:val="auto"/>
          <w:sz w:val="72"/>
          <w:szCs w:val="72"/>
          <w:highlight w:val="none"/>
        </w:rPr>
        <w:t>件</w:t>
      </w:r>
    </w:p>
    <w:p w14:paraId="63D274AB">
      <w:pPr>
        <w:snapToGrid w:val="0"/>
        <w:spacing w:line="360" w:lineRule="auto"/>
        <w:rPr>
          <w:rFonts w:ascii="宋体" w:hAnsi="宋体"/>
          <w:color w:val="auto"/>
          <w:sz w:val="28"/>
          <w:szCs w:val="28"/>
          <w:highlight w:val="none"/>
        </w:rPr>
      </w:pPr>
    </w:p>
    <w:p w14:paraId="32E69D6D">
      <w:pPr>
        <w:pStyle w:val="17"/>
        <w:rPr>
          <w:color w:val="auto"/>
          <w:highlight w:val="none"/>
        </w:rPr>
      </w:pPr>
    </w:p>
    <w:p w14:paraId="7D197925">
      <w:pPr>
        <w:snapToGrid w:val="0"/>
        <w:spacing w:line="360" w:lineRule="auto"/>
        <w:rPr>
          <w:rFonts w:hint="eastAsia" w:ascii="宋体" w:hAnsi="宋体"/>
          <w:color w:val="auto"/>
          <w:sz w:val="28"/>
          <w:szCs w:val="28"/>
          <w:highlight w:val="none"/>
        </w:rPr>
      </w:pPr>
    </w:p>
    <w:p w14:paraId="0100D92B">
      <w:pPr>
        <w:snapToGrid w:val="0"/>
        <w:spacing w:line="360" w:lineRule="auto"/>
        <w:ind w:firstLine="1124" w:firstLineChars="400"/>
        <w:rPr>
          <w:rFonts w:hint="eastAsia" w:ascii="宋体" w:hAnsi="宋体"/>
          <w:b/>
          <w:color w:val="auto"/>
          <w:sz w:val="28"/>
          <w:szCs w:val="28"/>
          <w:highlight w:val="none"/>
        </w:rPr>
      </w:pPr>
      <w:r>
        <w:rPr>
          <w:rFonts w:hint="eastAsia" w:ascii="宋体" w:hAnsi="宋体"/>
          <w:b/>
          <w:color w:val="auto"/>
          <w:sz w:val="28"/>
          <w:szCs w:val="28"/>
          <w:highlight w:val="none"/>
        </w:rPr>
        <w:t>采   购  单  位：</w:t>
      </w:r>
      <w:r>
        <w:rPr>
          <w:rFonts w:hint="eastAsia" w:ascii="宋体" w:hAnsi="宋体"/>
          <w:b/>
          <w:color w:val="auto"/>
          <w:sz w:val="28"/>
          <w:szCs w:val="28"/>
          <w:highlight w:val="none"/>
          <w:u w:val="single"/>
        </w:rPr>
        <w:t>浙江钱塘江水利建筑工程有限公司</w:t>
      </w:r>
    </w:p>
    <w:p w14:paraId="319DB7A3">
      <w:pPr>
        <w:tabs>
          <w:tab w:val="left" w:pos="2180"/>
          <w:tab w:val="center" w:pos="3741"/>
        </w:tabs>
        <w:spacing w:line="360" w:lineRule="auto"/>
        <w:jc w:val="center"/>
        <w:rPr>
          <w:rFonts w:hint="eastAsia" w:ascii="宋体" w:hAnsi="宋体"/>
          <w:b/>
          <w:bCs/>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eastAsia="zh-CN"/>
        </w:rPr>
        <w:t>2026</w:t>
      </w:r>
      <w:r>
        <w:rPr>
          <w:rFonts w:hint="eastAsia" w:ascii="宋体" w:hAnsi="宋体"/>
          <w:b/>
          <w:color w:val="auto"/>
          <w:sz w:val="28"/>
          <w:szCs w:val="28"/>
          <w:highlight w:val="none"/>
          <w:lang w:eastAsia="zh-CN"/>
        </w:rPr>
        <w:t>年</w:t>
      </w:r>
      <w:r>
        <w:rPr>
          <w:rFonts w:hint="eastAsia" w:ascii="宋体" w:hAnsi="宋体"/>
          <w:b/>
          <w:color w:val="auto"/>
          <w:sz w:val="28"/>
          <w:szCs w:val="28"/>
          <w:highlight w:val="none"/>
          <w:u w:val="single"/>
          <w:lang w:val="en-US" w:eastAsia="zh-CN"/>
        </w:rPr>
        <w:t xml:space="preserve"> 8</w:t>
      </w:r>
      <w:r>
        <w:rPr>
          <w:rFonts w:hint="eastAsia" w:ascii="宋体" w:hAnsi="宋体"/>
          <w:b/>
          <w:color w:val="auto"/>
          <w:sz w:val="28"/>
          <w:szCs w:val="28"/>
          <w:highlight w:val="none"/>
        </w:rPr>
        <w:t>月</w:t>
      </w:r>
      <w:r>
        <w:rPr>
          <w:rFonts w:hint="eastAsia" w:ascii="宋体" w:hAnsi="宋体"/>
          <w:b/>
          <w:color w:val="auto"/>
          <w:sz w:val="28"/>
          <w:szCs w:val="28"/>
          <w:highlight w:val="none"/>
          <w:lang w:val="en-US" w:eastAsia="zh-CN"/>
        </w:rPr>
        <w:t xml:space="preserve"> </w:t>
      </w:r>
      <w:r>
        <w:rPr>
          <w:rFonts w:hint="eastAsia" w:ascii="宋体" w:hAnsi="宋体"/>
          <w:b/>
          <w:color w:val="auto"/>
          <w:sz w:val="28"/>
          <w:szCs w:val="28"/>
          <w:highlight w:val="none"/>
          <w:u w:val="single"/>
          <w:lang w:val="en-US" w:eastAsia="zh-CN"/>
        </w:rPr>
        <w:t xml:space="preserve"> 13</w:t>
      </w:r>
      <w:r>
        <w:rPr>
          <w:rFonts w:hint="eastAsia" w:ascii="宋体" w:hAnsi="宋体"/>
          <w:b/>
          <w:color w:val="auto"/>
          <w:sz w:val="28"/>
          <w:szCs w:val="28"/>
          <w:highlight w:val="none"/>
        </w:rPr>
        <w:t>日</w:t>
      </w:r>
    </w:p>
    <w:p w14:paraId="06610FEC">
      <w:pPr>
        <w:spacing w:line="520" w:lineRule="exact"/>
        <w:jc w:val="center"/>
        <w:rPr>
          <w:rFonts w:hint="eastAsia" w:ascii="宋体" w:hAnsi="宋体"/>
          <w:b/>
          <w:bCs/>
          <w:color w:val="auto"/>
          <w:sz w:val="28"/>
          <w:szCs w:val="28"/>
          <w:highlight w:val="none"/>
        </w:rPr>
        <w:sectPr>
          <w:headerReference r:id="rId4" w:type="first"/>
          <w:footerReference r:id="rId5" w:type="default"/>
          <w:headerReference r:id="rId3" w:type="even"/>
          <w:footerReference r:id="rId6" w:type="even"/>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07487E7D">
      <w:pPr>
        <w:spacing w:line="520" w:lineRule="exact"/>
        <w:jc w:val="center"/>
        <w:rPr>
          <w:rFonts w:hint="eastAsia" w:ascii="宋体" w:hAnsi="宋体"/>
          <w:b/>
          <w:bCs/>
          <w:color w:val="auto"/>
          <w:sz w:val="28"/>
          <w:szCs w:val="28"/>
          <w:highlight w:val="none"/>
        </w:rPr>
      </w:pPr>
      <w:r>
        <w:rPr>
          <w:rFonts w:hint="eastAsia" w:ascii="宋体" w:hAnsi="宋体"/>
          <w:b/>
          <w:bCs/>
          <w:color w:val="auto"/>
          <w:sz w:val="28"/>
          <w:szCs w:val="28"/>
          <w:highlight w:val="none"/>
        </w:rPr>
        <w:t xml:space="preserve">目 </w:t>
      </w:r>
      <w:r>
        <w:rPr>
          <w:rFonts w:ascii="宋体" w:hAnsi="宋体"/>
          <w:b/>
          <w:bCs/>
          <w:color w:val="auto"/>
          <w:sz w:val="28"/>
          <w:szCs w:val="28"/>
          <w:highlight w:val="none"/>
        </w:rPr>
        <w:t xml:space="preserve"> </w:t>
      </w:r>
      <w:r>
        <w:rPr>
          <w:rFonts w:hint="eastAsia" w:ascii="宋体" w:hAnsi="宋体"/>
          <w:b/>
          <w:bCs/>
          <w:color w:val="auto"/>
          <w:sz w:val="28"/>
          <w:szCs w:val="28"/>
          <w:highlight w:val="none"/>
        </w:rPr>
        <w:t xml:space="preserve"> 录</w:t>
      </w:r>
    </w:p>
    <w:p w14:paraId="16EE4898">
      <w:pPr>
        <w:widowControl/>
        <w:spacing w:line="480" w:lineRule="atLeast"/>
        <w:jc w:val="center"/>
        <w:outlineLvl w:val="0"/>
        <w:rPr>
          <w:rFonts w:hint="eastAsia" w:ascii="宋体" w:hAnsi="宋体" w:cs="宋体"/>
          <w:color w:val="auto"/>
          <w:szCs w:val="24"/>
          <w:highlight w:val="none"/>
        </w:rPr>
      </w:pPr>
      <w:bookmarkStart w:id="0" w:name="_Toc29828658"/>
      <w:bookmarkStart w:id="1" w:name="_Toc31712"/>
      <w:bookmarkStart w:id="2" w:name="_Toc14803_WPSOffice_Level1"/>
      <w:bookmarkStart w:id="3" w:name="_Toc67092347"/>
      <w:bookmarkStart w:id="4" w:name="_Toc30283818"/>
      <w:bookmarkStart w:id="5" w:name="_Toc353400020"/>
      <w:bookmarkStart w:id="6" w:name="_Toc144974495"/>
      <w:bookmarkStart w:id="7" w:name="_Toc152042303"/>
      <w:bookmarkStart w:id="8" w:name="_Toc229646709"/>
      <w:bookmarkStart w:id="9" w:name="_Toc152045527"/>
    </w:p>
    <w:p w14:paraId="3CB527BD">
      <w:pPr>
        <w:spacing w:before="0" w:beforeLines="0" w:after="0" w:afterLines="0" w:line="240" w:lineRule="auto"/>
        <w:ind w:left="0" w:leftChars="0" w:right="0" w:rightChars="0" w:firstLine="0" w:firstLineChars="0"/>
        <w:jc w:val="center"/>
      </w:pPr>
    </w:p>
    <w:p w14:paraId="5F0D6613">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color w:val="auto"/>
          <w:szCs w:val="24"/>
          <w:highlight w:val="none"/>
        </w:rPr>
        <w:instrText xml:space="preserve">TOC \o "1-1" \h \u </w:instrText>
      </w:r>
      <w:r>
        <w:rPr>
          <w:rFonts w:hint="eastAsia" w:ascii="宋体" w:hAnsi="宋体" w:cs="宋体"/>
          <w:color w:val="auto"/>
          <w:szCs w:val="24"/>
          <w:highlight w:val="none"/>
        </w:rPr>
        <w:fldChar w:fldCharType="separate"/>
      </w: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_Toc13846 </w:instrText>
      </w:r>
      <w:r>
        <w:rPr>
          <w:rFonts w:hint="eastAsia" w:ascii="宋体" w:hAnsi="宋体" w:cs="宋体"/>
          <w:szCs w:val="24"/>
          <w:highlight w:val="none"/>
        </w:rPr>
        <w:fldChar w:fldCharType="separate"/>
      </w:r>
      <w:r>
        <w:rPr>
          <w:rFonts w:hint="eastAsia"/>
          <w:highlight w:val="none"/>
        </w:rPr>
        <w:t>第一章 采购概况</w:t>
      </w:r>
      <w:r>
        <w:tab/>
      </w:r>
      <w:r>
        <w:fldChar w:fldCharType="begin"/>
      </w:r>
      <w:r>
        <w:instrText xml:space="preserve"> PAGEREF _Toc13846 \h </w:instrText>
      </w:r>
      <w:r>
        <w:fldChar w:fldCharType="separate"/>
      </w:r>
      <w:r>
        <w:t>3</w:t>
      </w:r>
      <w:r>
        <w:fldChar w:fldCharType="end"/>
      </w:r>
      <w:r>
        <w:rPr>
          <w:rFonts w:hint="eastAsia" w:ascii="宋体" w:hAnsi="宋体" w:cs="宋体"/>
          <w:color w:val="auto"/>
          <w:szCs w:val="24"/>
          <w:highlight w:val="none"/>
        </w:rPr>
        <w:fldChar w:fldCharType="end"/>
      </w:r>
    </w:p>
    <w:p w14:paraId="1C2D9A75">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_Toc29184 </w:instrText>
      </w:r>
      <w:r>
        <w:rPr>
          <w:rFonts w:hint="eastAsia" w:ascii="宋体" w:hAnsi="宋体" w:cs="宋体"/>
          <w:szCs w:val="24"/>
          <w:highlight w:val="none"/>
        </w:rPr>
        <w:fldChar w:fldCharType="separate"/>
      </w:r>
      <w:r>
        <w:rPr>
          <w:rFonts w:hint="eastAsia"/>
          <w:highlight w:val="none"/>
        </w:rPr>
        <w:t>第二章 供应商须知</w:t>
      </w:r>
      <w:r>
        <w:tab/>
      </w:r>
      <w:r>
        <w:fldChar w:fldCharType="begin"/>
      </w:r>
      <w:r>
        <w:instrText xml:space="preserve"> PAGEREF _Toc29184 \h </w:instrText>
      </w:r>
      <w:r>
        <w:fldChar w:fldCharType="separate"/>
      </w:r>
      <w:r>
        <w:t>5</w:t>
      </w:r>
      <w:r>
        <w:fldChar w:fldCharType="end"/>
      </w:r>
      <w:r>
        <w:rPr>
          <w:rFonts w:hint="eastAsia" w:ascii="宋体" w:hAnsi="宋体" w:cs="宋体"/>
          <w:color w:val="auto"/>
          <w:szCs w:val="24"/>
          <w:highlight w:val="none"/>
        </w:rPr>
        <w:fldChar w:fldCharType="end"/>
      </w:r>
    </w:p>
    <w:p w14:paraId="7FC2D98A">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_Toc15120 </w:instrText>
      </w:r>
      <w:r>
        <w:rPr>
          <w:rFonts w:hint="eastAsia" w:ascii="宋体" w:hAnsi="宋体" w:cs="宋体"/>
          <w:szCs w:val="24"/>
          <w:highlight w:val="none"/>
        </w:rPr>
        <w:fldChar w:fldCharType="separate"/>
      </w:r>
      <w:r>
        <w:rPr>
          <w:rFonts w:hint="eastAsia" w:ascii="宋体" w:hAnsi="宋体" w:cs="宋体"/>
          <w:bCs/>
          <w:kern w:val="0"/>
          <w:szCs w:val="28"/>
        </w:rPr>
        <w:t>第三章 评   审（综合评分法）</w:t>
      </w:r>
      <w:r>
        <w:tab/>
      </w:r>
      <w:r>
        <w:fldChar w:fldCharType="begin"/>
      </w:r>
      <w:r>
        <w:instrText xml:space="preserve"> PAGEREF _Toc15120 \h </w:instrText>
      </w:r>
      <w:r>
        <w:fldChar w:fldCharType="separate"/>
      </w:r>
      <w:r>
        <w:t>8</w:t>
      </w:r>
      <w:r>
        <w:fldChar w:fldCharType="end"/>
      </w:r>
      <w:r>
        <w:rPr>
          <w:rFonts w:hint="eastAsia" w:ascii="宋体" w:hAnsi="宋体" w:cs="宋体"/>
          <w:color w:val="auto"/>
          <w:szCs w:val="24"/>
          <w:highlight w:val="none"/>
        </w:rPr>
        <w:fldChar w:fldCharType="end"/>
      </w:r>
    </w:p>
    <w:p w14:paraId="3D30FB86">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_Toc22629 </w:instrText>
      </w:r>
      <w:r>
        <w:rPr>
          <w:rFonts w:hint="eastAsia" w:ascii="宋体" w:hAnsi="宋体" w:cs="宋体"/>
          <w:szCs w:val="24"/>
          <w:highlight w:val="none"/>
        </w:rPr>
        <w:fldChar w:fldCharType="separate"/>
      </w:r>
      <w:r>
        <w:rPr>
          <w:rFonts w:hint="eastAsia"/>
        </w:rPr>
        <w:t xml:space="preserve">第四章 </w:t>
      </w:r>
      <w:r>
        <w:rPr>
          <w:rFonts w:hint="eastAsia"/>
          <w:highlight w:val="none"/>
        </w:rPr>
        <w:t>合同主要条款及格式</w:t>
      </w:r>
      <w:r>
        <w:tab/>
      </w:r>
      <w:r>
        <w:fldChar w:fldCharType="begin"/>
      </w:r>
      <w:r>
        <w:instrText xml:space="preserve"> PAGEREF _Toc22629 \h </w:instrText>
      </w:r>
      <w:r>
        <w:fldChar w:fldCharType="separate"/>
      </w:r>
      <w:r>
        <w:t>12</w:t>
      </w:r>
      <w:r>
        <w:fldChar w:fldCharType="end"/>
      </w:r>
      <w:r>
        <w:rPr>
          <w:rFonts w:hint="eastAsia" w:ascii="宋体" w:hAnsi="宋体" w:cs="宋体"/>
          <w:color w:val="auto"/>
          <w:szCs w:val="24"/>
          <w:highlight w:val="none"/>
        </w:rPr>
        <w:fldChar w:fldCharType="end"/>
      </w:r>
    </w:p>
    <w:p w14:paraId="5020C160">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_Toc1396 </w:instrText>
      </w:r>
      <w:r>
        <w:rPr>
          <w:rFonts w:hint="eastAsia" w:ascii="宋体" w:hAnsi="宋体" w:cs="宋体"/>
          <w:szCs w:val="24"/>
          <w:highlight w:val="none"/>
        </w:rPr>
        <w:fldChar w:fldCharType="separate"/>
      </w:r>
      <w:r>
        <w:rPr>
          <w:rFonts w:hint="eastAsia" w:ascii="Times New Roman" w:hAnsi="Times New Roman" w:eastAsia="宋体" w:cs="Times New Roman"/>
          <w:bCs/>
          <w:highlight w:val="none"/>
        </w:rPr>
        <w:t>第五章 采购</w:t>
      </w:r>
      <w:r>
        <w:rPr>
          <w:rFonts w:hint="eastAsia" w:cs="Times New Roman"/>
          <w:bCs/>
          <w:highlight w:val="none"/>
          <w:lang w:val="en-US" w:eastAsia="zh-CN"/>
        </w:rPr>
        <w:t>需求</w:t>
      </w:r>
      <w:r>
        <w:tab/>
      </w:r>
      <w:r>
        <w:fldChar w:fldCharType="begin"/>
      </w:r>
      <w:r>
        <w:instrText xml:space="preserve"> PAGEREF _Toc1396 \h </w:instrText>
      </w:r>
      <w:r>
        <w:fldChar w:fldCharType="separate"/>
      </w:r>
      <w:r>
        <w:t>32</w:t>
      </w:r>
      <w:r>
        <w:fldChar w:fldCharType="end"/>
      </w:r>
      <w:r>
        <w:rPr>
          <w:rFonts w:hint="eastAsia" w:ascii="宋体" w:hAnsi="宋体" w:cs="宋体"/>
          <w:color w:val="auto"/>
          <w:szCs w:val="24"/>
          <w:highlight w:val="none"/>
        </w:rPr>
        <w:fldChar w:fldCharType="end"/>
      </w:r>
    </w:p>
    <w:p w14:paraId="407256BA">
      <w:pPr>
        <w:pStyle w:val="32"/>
        <w:tabs>
          <w:tab w:val="right" w:leader="dot" w:pos="9072"/>
          <w:tab w:val="clear" w:pos="0"/>
          <w:tab w:val="clear" w:pos="8280"/>
        </w:tabs>
      </w:pPr>
      <w:r>
        <w:rPr>
          <w:rFonts w:hint="eastAsia" w:ascii="宋体" w:hAnsi="宋体" w:cs="宋体"/>
          <w:color w:val="auto"/>
          <w:szCs w:val="24"/>
          <w:highlight w:val="none"/>
        </w:rPr>
        <w:fldChar w:fldCharType="begin"/>
      </w:r>
      <w:r>
        <w:rPr>
          <w:rFonts w:hint="eastAsia" w:ascii="宋体" w:hAnsi="宋体" w:cs="宋体"/>
          <w:szCs w:val="24"/>
          <w:highlight w:val="none"/>
        </w:rPr>
        <w:instrText xml:space="preserve"> HYPERLINK \l _Toc16935 </w:instrText>
      </w:r>
      <w:r>
        <w:rPr>
          <w:rFonts w:hint="eastAsia" w:ascii="宋体" w:hAnsi="宋体" w:cs="宋体"/>
          <w:szCs w:val="24"/>
          <w:highlight w:val="none"/>
        </w:rPr>
        <w:fldChar w:fldCharType="separate"/>
      </w:r>
      <w:r>
        <w:rPr>
          <w:rFonts w:hint="eastAsia"/>
          <w:highlight w:val="none"/>
        </w:rPr>
        <w:t>第六章 响应文件格式</w:t>
      </w:r>
      <w:r>
        <w:tab/>
      </w:r>
      <w:r>
        <w:fldChar w:fldCharType="begin"/>
      </w:r>
      <w:r>
        <w:instrText xml:space="preserve"> PAGEREF _Toc16935 \h </w:instrText>
      </w:r>
      <w:r>
        <w:fldChar w:fldCharType="separate"/>
      </w:r>
      <w:r>
        <w:t>35</w:t>
      </w:r>
      <w:r>
        <w:fldChar w:fldCharType="end"/>
      </w:r>
      <w:r>
        <w:rPr>
          <w:rFonts w:hint="eastAsia" w:ascii="宋体" w:hAnsi="宋体" w:cs="宋体"/>
          <w:color w:val="auto"/>
          <w:szCs w:val="24"/>
          <w:highlight w:val="none"/>
        </w:rPr>
        <w:fldChar w:fldCharType="end"/>
      </w:r>
    </w:p>
    <w:p w14:paraId="16D14979">
      <w:pPr>
        <w:widowControl/>
        <w:spacing w:line="480" w:lineRule="atLeast"/>
        <w:jc w:val="center"/>
        <w:outlineLvl w:val="0"/>
        <w:rPr>
          <w:rFonts w:hint="eastAsia" w:ascii="宋体" w:hAnsi="宋体" w:cs="宋体"/>
          <w:color w:val="auto"/>
          <w:szCs w:val="24"/>
          <w:highlight w:val="none"/>
        </w:rPr>
      </w:pPr>
      <w:r>
        <w:rPr>
          <w:rFonts w:hint="eastAsia" w:ascii="宋体" w:hAnsi="宋体" w:cs="宋体"/>
          <w:color w:val="auto"/>
          <w:szCs w:val="24"/>
          <w:highlight w:val="none"/>
        </w:rPr>
        <w:fldChar w:fldCharType="end"/>
      </w:r>
    </w:p>
    <w:p w14:paraId="23E44CD6">
      <w:pPr>
        <w:widowControl/>
        <w:spacing w:line="480" w:lineRule="atLeast"/>
        <w:jc w:val="center"/>
        <w:outlineLvl w:val="0"/>
        <w:rPr>
          <w:rFonts w:hint="eastAsia" w:ascii="宋体" w:hAnsi="宋体" w:cs="宋体"/>
          <w:color w:val="auto"/>
          <w:szCs w:val="24"/>
          <w:highlight w:val="none"/>
        </w:rPr>
      </w:pPr>
    </w:p>
    <w:p w14:paraId="2EBC202A">
      <w:pPr>
        <w:bidi w:val="0"/>
        <w:rPr>
          <w:rFonts w:hint="eastAsia" w:cs="黑体"/>
          <w:color w:val="auto"/>
          <w:kern w:val="2"/>
          <w:sz w:val="21"/>
          <w:szCs w:val="22"/>
          <w:highlight w:val="none"/>
          <w:lang w:val="en-US" w:eastAsia="zh-CN" w:bidi="ar-SA"/>
        </w:rPr>
      </w:pPr>
    </w:p>
    <w:p w14:paraId="137A16F6">
      <w:pPr>
        <w:bidi w:val="0"/>
        <w:rPr>
          <w:rFonts w:hint="eastAsia"/>
          <w:color w:val="auto"/>
          <w:highlight w:val="none"/>
          <w:lang w:val="en-US" w:eastAsia="zh-CN"/>
        </w:rPr>
      </w:pPr>
    </w:p>
    <w:p w14:paraId="1FFEB37D">
      <w:pPr>
        <w:bidi w:val="0"/>
        <w:rPr>
          <w:rFonts w:hint="eastAsia"/>
          <w:color w:val="auto"/>
          <w:highlight w:val="none"/>
          <w:lang w:val="en-US" w:eastAsia="zh-CN"/>
        </w:rPr>
      </w:pPr>
    </w:p>
    <w:p w14:paraId="3A2362FC">
      <w:pPr>
        <w:tabs>
          <w:tab w:val="right" w:pos="9072"/>
        </w:tabs>
        <w:bidi w:val="0"/>
        <w:jc w:val="left"/>
        <w:rPr>
          <w:rFonts w:hint="eastAsia"/>
          <w:color w:val="auto"/>
          <w:highlight w:val="none"/>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r>
        <w:rPr>
          <w:rFonts w:hint="eastAsia"/>
          <w:color w:val="auto"/>
          <w:highlight w:val="none"/>
          <w:lang w:val="en-US" w:eastAsia="zh-CN"/>
        </w:rPr>
        <w:tab/>
      </w:r>
    </w:p>
    <w:p w14:paraId="5B7196A4">
      <w:pPr>
        <w:pStyle w:val="2"/>
        <w:bidi w:val="0"/>
        <w:jc w:val="center"/>
        <w:rPr>
          <w:rFonts w:hint="eastAsia"/>
          <w:color w:val="auto"/>
          <w:highlight w:val="none"/>
        </w:rPr>
      </w:pPr>
      <w:bookmarkStart w:id="10" w:name="_Toc8104"/>
      <w:bookmarkStart w:id="11" w:name="_Toc6628"/>
      <w:bookmarkStart w:id="12" w:name="_Toc13846"/>
      <w:r>
        <w:rPr>
          <w:rFonts w:hint="eastAsia"/>
          <w:color w:val="auto"/>
          <w:highlight w:val="none"/>
        </w:rPr>
        <w:t>第一章 采购</w:t>
      </w:r>
      <w:bookmarkEnd w:id="0"/>
      <w:bookmarkEnd w:id="1"/>
      <w:bookmarkEnd w:id="2"/>
      <w:bookmarkEnd w:id="3"/>
      <w:bookmarkEnd w:id="4"/>
      <w:r>
        <w:rPr>
          <w:rFonts w:hint="eastAsia"/>
          <w:color w:val="auto"/>
          <w:highlight w:val="none"/>
        </w:rPr>
        <w:t>概况</w:t>
      </w:r>
      <w:bookmarkEnd w:id="10"/>
      <w:bookmarkEnd w:id="11"/>
      <w:bookmarkEnd w:id="12"/>
    </w:p>
    <w:p w14:paraId="4B3C2CCB">
      <w:pPr>
        <w:tabs>
          <w:tab w:val="left" w:pos="0"/>
          <w:tab w:val="left" w:pos="1995"/>
        </w:tabs>
        <w:adjustRightInd w:val="0"/>
        <w:snapToGrid w:val="0"/>
        <w:spacing w:line="440" w:lineRule="atLeast"/>
        <w:ind w:right="-10" w:rightChars="-5" w:firstLine="523" w:firstLineChars="218"/>
        <w:rPr>
          <w:rFonts w:hint="eastAsia" w:ascii="宋体" w:hAnsi="宋体" w:cs="宋体"/>
          <w:snapToGrid w:val="0"/>
          <w:color w:val="auto"/>
          <w:sz w:val="24"/>
          <w:szCs w:val="24"/>
          <w:highlight w:val="none"/>
        </w:rPr>
      </w:pPr>
      <w:bookmarkStart w:id="13" w:name="_Toc30283880"/>
      <w:bookmarkStart w:id="14" w:name="_Toc29828670"/>
      <w:bookmarkStart w:id="15" w:name="_Toc27099"/>
      <w:bookmarkStart w:id="16" w:name="_Toc16889_WPSOffice_Level2"/>
      <w:bookmarkStart w:id="17" w:name="_Toc30283830"/>
      <w:bookmarkStart w:id="18" w:name="_Toc30283522"/>
      <w:r>
        <w:rPr>
          <w:rFonts w:hint="eastAsia" w:ascii="宋体" w:hAnsi="宋体" w:cs="宋体"/>
          <w:snapToGrid w:val="0"/>
          <w:color w:val="auto"/>
          <w:sz w:val="24"/>
          <w:szCs w:val="24"/>
          <w:highlight w:val="none"/>
        </w:rPr>
        <w:t>浙江钱塘江水利建筑工程有限公司就</w:t>
      </w:r>
      <w:r>
        <w:rPr>
          <w:rFonts w:hint="eastAsia" w:ascii="宋体" w:hAnsi="宋体" w:eastAsia="宋体"/>
          <w:b/>
          <w:color w:val="auto"/>
          <w:sz w:val="24"/>
          <w:szCs w:val="24"/>
          <w:highlight w:val="none"/>
          <w:u w:val="single"/>
          <w:lang w:val="en-US" w:eastAsia="zh-CN"/>
        </w:rPr>
        <w:t>浙江青田抽水蓄能电站项目筹建期工程设计-采购-施工总承包（EPC）安全文明设施</w:t>
      </w:r>
      <w:r>
        <w:rPr>
          <w:rFonts w:hint="eastAsia" w:ascii="宋体" w:hAnsi="宋体" w:cs="宋体"/>
          <w:snapToGrid w:val="0"/>
          <w:color w:val="auto"/>
          <w:sz w:val="24"/>
          <w:szCs w:val="24"/>
          <w:highlight w:val="none"/>
        </w:rPr>
        <w:t>进行采购</w:t>
      </w:r>
      <w:r>
        <w:rPr>
          <w:rFonts w:hint="eastAsia" w:ascii="宋体" w:hAnsi="宋体" w:cs="宋体"/>
          <w:color w:val="auto"/>
          <w:sz w:val="24"/>
          <w:szCs w:val="24"/>
          <w:highlight w:val="none"/>
        </w:rPr>
        <w:t>，欢迎国内合格的意向单位按采购文件要求递交响应文件</w:t>
      </w:r>
      <w:r>
        <w:rPr>
          <w:rFonts w:hint="eastAsia" w:ascii="宋体" w:hAnsi="宋体" w:cs="宋体"/>
          <w:snapToGrid w:val="0"/>
          <w:color w:val="auto"/>
          <w:sz w:val="24"/>
          <w:szCs w:val="24"/>
          <w:highlight w:val="none"/>
        </w:rPr>
        <w:t>。</w:t>
      </w:r>
      <w:bookmarkStart w:id="19" w:name="_Hlk67690345"/>
    </w:p>
    <w:bookmarkEnd w:id="19"/>
    <w:p w14:paraId="677DA078">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default" w:ascii="宋体" w:hAnsi="宋体" w:cs="宋体"/>
          <w:snapToGrid w:val="0"/>
          <w:color w:val="auto"/>
          <w:kern w:val="0"/>
          <w:sz w:val="24"/>
          <w:highlight w:val="none"/>
          <w:lang w:val="en-US" w:eastAsia="zh-CN"/>
        </w:rPr>
      </w:pPr>
      <w:bookmarkStart w:id="20" w:name="_Toc30283870"/>
      <w:bookmarkStart w:id="21" w:name="_Toc30283820"/>
      <w:bookmarkStart w:id="22" w:name="_Toc30283513"/>
      <w:bookmarkStart w:id="23" w:name="_Toc28715_WPSOffice_Level2"/>
      <w:bookmarkStart w:id="24" w:name="_Toc29828661"/>
      <w:r>
        <w:rPr>
          <w:rFonts w:hint="eastAsia" w:ascii="宋体" w:hAnsi="宋体" w:cs="宋体"/>
          <w:b/>
          <w:snapToGrid w:val="0"/>
          <w:color w:val="auto"/>
          <w:kern w:val="0"/>
          <w:sz w:val="24"/>
          <w:highlight w:val="none"/>
          <w:lang w:val="en-US" w:eastAsia="zh-CN"/>
        </w:rPr>
        <w:t xml:space="preserve">1. </w:t>
      </w:r>
      <w:r>
        <w:rPr>
          <w:rFonts w:hint="eastAsia" w:ascii="宋体" w:hAnsi="宋体" w:cs="宋体"/>
          <w:b/>
          <w:snapToGrid w:val="0"/>
          <w:color w:val="auto"/>
          <w:kern w:val="0"/>
          <w:sz w:val="24"/>
          <w:highlight w:val="none"/>
        </w:rPr>
        <w:t>采购编号：</w:t>
      </w:r>
      <w:r>
        <w:rPr>
          <w:rFonts w:hint="eastAsia" w:ascii="宋体" w:hAnsi="宋体" w:cs="宋体"/>
          <w:snapToGrid w:val="0"/>
          <w:color w:val="auto"/>
          <w:kern w:val="0"/>
          <w:sz w:val="24"/>
          <w:highlight w:val="none"/>
          <w:lang w:eastAsia="zh-CN"/>
        </w:rPr>
        <w:t>QSJGC-202</w:t>
      </w:r>
      <w:r>
        <w:rPr>
          <w:rFonts w:hint="eastAsia" w:ascii="宋体" w:hAnsi="宋体" w:cs="宋体"/>
          <w:snapToGrid w:val="0"/>
          <w:color w:val="auto"/>
          <w:kern w:val="0"/>
          <w:sz w:val="24"/>
          <w:highlight w:val="none"/>
          <w:lang w:val="en-US" w:eastAsia="zh-CN"/>
        </w:rPr>
        <w:t>4</w:t>
      </w:r>
      <w:r>
        <w:rPr>
          <w:rFonts w:hint="eastAsia" w:ascii="宋体" w:hAnsi="宋体" w:cs="宋体"/>
          <w:snapToGrid w:val="0"/>
          <w:color w:val="auto"/>
          <w:kern w:val="0"/>
          <w:sz w:val="24"/>
          <w:highlight w:val="none"/>
          <w:lang w:eastAsia="zh-CN"/>
        </w:rPr>
        <w:t>-06-0</w:t>
      </w:r>
      <w:r>
        <w:rPr>
          <w:rFonts w:hint="eastAsia" w:ascii="宋体" w:hAnsi="宋体" w:cs="宋体"/>
          <w:snapToGrid w:val="0"/>
          <w:color w:val="auto"/>
          <w:kern w:val="0"/>
          <w:sz w:val="24"/>
          <w:highlight w:val="none"/>
          <w:lang w:val="en-US" w:eastAsia="zh-CN"/>
        </w:rPr>
        <w:t>9</w:t>
      </w:r>
      <w:r>
        <w:rPr>
          <w:rFonts w:hint="eastAsia" w:ascii="宋体" w:hAnsi="宋体" w:cs="宋体"/>
          <w:snapToGrid w:val="0"/>
          <w:color w:val="auto"/>
          <w:kern w:val="0"/>
          <w:sz w:val="24"/>
          <w:highlight w:val="none"/>
          <w:lang w:eastAsia="zh-CN"/>
        </w:rPr>
        <w:t>-</w:t>
      </w:r>
      <w:r>
        <w:rPr>
          <w:rFonts w:hint="eastAsia" w:ascii="宋体" w:hAnsi="宋体" w:cs="宋体"/>
          <w:snapToGrid w:val="0"/>
          <w:color w:val="auto"/>
          <w:kern w:val="0"/>
          <w:sz w:val="24"/>
          <w:highlight w:val="none"/>
          <w:lang w:val="en-US" w:eastAsia="zh-CN"/>
        </w:rPr>
        <w:t>23</w:t>
      </w:r>
    </w:p>
    <w:p w14:paraId="7D727249">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spacing w:val="8"/>
          <w:kern w:val="0"/>
          <w:sz w:val="24"/>
          <w:highlight w:val="none"/>
        </w:rPr>
      </w:pPr>
      <w:r>
        <w:rPr>
          <w:rFonts w:hint="eastAsia" w:ascii="宋体" w:hAnsi="宋体" w:cs="宋体"/>
          <w:b/>
          <w:snapToGrid w:val="0"/>
          <w:color w:val="auto"/>
          <w:kern w:val="0"/>
          <w:sz w:val="24"/>
          <w:highlight w:val="none"/>
        </w:rPr>
        <w:t>2.</w:t>
      </w:r>
      <w:r>
        <w:rPr>
          <w:rFonts w:hint="eastAsia" w:ascii="宋体" w:hAnsi="宋体" w:cs="宋体"/>
          <w:b/>
          <w:snapToGrid w:val="0"/>
          <w:color w:val="auto"/>
          <w:kern w:val="0"/>
          <w:sz w:val="24"/>
          <w:highlight w:val="none"/>
          <w:lang w:val="en-US" w:eastAsia="zh-CN"/>
        </w:rPr>
        <w:t xml:space="preserve"> </w:t>
      </w:r>
      <w:r>
        <w:rPr>
          <w:rFonts w:hint="eastAsia" w:ascii="宋体" w:hAnsi="宋体" w:cs="宋体"/>
          <w:b/>
          <w:snapToGrid w:val="0"/>
          <w:color w:val="auto"/>
          <w:kern w:val="0"/>
          <w:sz w:val="24"/>
          <w:highlight w:val="none"/>
        </w:rPr>
        <w:t>项目概况与</w:t>
      </w:r>
      <w:r>
        <w:rPr>
          <w:rFonts w:hint="eastAsia" w:ascii="宋体" w:hAnsi="宋体" w:cs="宋体"/>
          <w:b/>
          <w:snapToGrid w:val="0"/>
          <w:color w:val="auto"/>
          <w:kern w:val="0"/>
          <w:sz w:val="24"/>
          <w:highlight w:val="none"/>
          <w:lang w:val="en-US" w:eastAsia="zh-CN"/>
        </w:rPr>
        <w:t>采购</w:t>
      </w:r>
      <w:r>
        <w:rPr>
          <w:rFonts w:hint="eastAsia" w:ascii="宋体" w:hAnsi="宋体" w:cs="宋体"/>
          <w:b/>
          <w:snapToGrid w:val="0"/>
          <w:color w:val="auto"/>
          <w:kern w:val="0"/>
          <w:sz w:val="24"/>
          <w:highlight w:val="none"/>
        </w:rPr>
        <w:t>范围</w:t>
      </w:r>
    </w:p>
    <w:p w14:paraId="0A0D11BE">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single"/>
          <w:lang w:val="en-US" w:eastAsia="zh-CN"/>
        </w:rPr>
      </w:pPr>
      <w:r>
        <w:rPr>
          <w:rFonts w:hint="eastAsia" w:ascii="宋体" w:hAnsi="宋体" w:cs="宋体"/>
          <w:snapToGrid w:val="0"/>
          <w:color w:val="auto"/>
          <w:kern w:val="0"/>
          <w:sz w:val="24"/>
          <w:highlight w:val="none"/>
        </w:rPr>
        <w:t>2.1项目地址：</w:t>
      </w:r>
      <w:r>
        <w:rPr>
          <w:rFonts w:hint="eastAsia" w:ascii="宋体" w:hAnsi="宋体" w:cs="宋体"/>
          <w:snapToGrid w:val="0"/>
          <w:color w:val="auto"/>
          <w:kern w:val="0"/>
          <w:sz w:val="24"/>
          <w:highlight w:val="none"/>
          <w:u w:val="single"/>
        </w:rPr>
        <w:t>浙</w:t>
      </w:r>
      <w:r>
        <w:rPr>
          <w:rFonts w:hint="eastAsia" w:ascii="宋体" w:hAnsi="宋体" w:eastAsia="宋体" w:cs="宋体"/>
          <w:snapToGrid w:val="0"/>
          <w:color w:val="auto"/>
          <w:kern w:val="0"/>
          <w:sz w:val="24"/>
          <w:highlight w:val="none"/>
          <w:u w:val="single"/>
        </w:rPr>
        <w:t>江省</w:t>
      </w:r>
      <w:r>
        <w:rPr>
          <w:rFonts w:hint="eastAsia" w:ascii="宋体" w:hAnsi="宋体" w:eastAsia="宋体" w:cs="宋体"/>
          <w:snapToGrid w:val="0"/>
          <w:color w:val="auto"/>
          <w:kern w:val="0"/>
          <w:sz w:val="24"/>
          <w:highlight w:val="none"/>
          <w:u w:val="single"/>
          <w:lang w:val="en-US" w:eastAsia="zh-CN"/>
        </w:rPr>
        <w:t>青田县巨浦乡。</w:t>
      </w:r>
    </w:p>
    <w:p w14:paraId="530B6577">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2</w:t>
      </w:r>
      <w:r>
        <w:rPr>
          <w:rFonts w:hint="eastAsia" w:ascii="宋体" w:hAnsi="宋体" w:eastAsia="宋体" w:cs="宋体"/>
          <w:snapToGrid w:val="0"/>
          <w:color w:val="auto"/>
          <w:kern w:val="0"/>
          <w:sz w:val="24"/>
          <w:highlight w:val="none"/>
        </w:rPr>
        <w:t>采购范围：</w:t>
      </w:r>
      <w:r>
        <w:rPr>
          <w:rFonts w:hint="eastAsia" w:ascii="宋体" w:hAnsi="宋体" w:eastAsia="宋体" w:cs="宋体"/>
          <w:snapToGrid w:val="0"/>
          <w:color w:val="auto"/>
          <w:kern w:val="0"/>
          <w:sz w:val="24"/>
          <w:highlight w:val="none"/>
          <w:u w:val="single"/>
        </w:rPr>
        <w:t>本次采购范围为项目</w:t>
      </w:r>
      <w:r>
        <w:rPr>
          <w:rFonts w:hint="eastAsia" w:ascii="宋体" w:hAnsi="宋体" w:eastAsia="宋体" w:cs="宋体"/>
          <w:snapToGrid w:val="0"/>
          <w:color w:val="auto"/>
          <w:kern w:val="0"/>
          <w:sz w:val="24"/>
          <w:highlight w:val="none"/>
          <w:u w:val="single"/>
          <w:lang w:val="en-US" w:eastAsia="zh-CN"/>
        </w:rPr>
        <w:t>安全文明设施采购</w:t>
      </w:r>
      <w:r>
        <w:rPr>
          <w:rFonts w:hint="eastAsia" w:ascii="宋体" w:hAnsi="宋体" w:eastAsia="宋体" w:cs="宋体"/>
          <w:snapToGrid w:val="0"/>
          <w:color w:val="auto"/>
          <w:kern w:val="0"/>
          <w:sz w:val="24"/>
          <w:highlight w:val="none"/>
          <w:u w:val="single"/>
        </w:rPr>
        <w:t>，详见</w:t>
      </w:r>
      <w:r>
        <w:rPr>
          <w:rFonts w:hint="eastAsia" w:ascii="宋体" w:hAnsi="宋体" w:cs="宋体"/>
          <w:snapToGrid w:val="0"/>
          <w:color w:val="auto"/>
          <w:kern w:val="0"/>
          <w:sz w:val="24"/>
          <w:highlight w:val="none"/>
          <w:u w:val="single"/>
          <w:lang w:val="en-US" w:eastAsia="zh-CN"/>
        </w:rPr>
        <w:t>第五章</w:t>
      </w:r>
      <w:r>
        <w:rPr>
          <w:rFonts w:hint="eastAsia" w:ascii="宋体" w:hAnsi="宋体" w:eastAsia="宋体" w:cs="宋体"/>
          <w:snapToGrid w:val="0"/>
          <w:color w:val="auto"/>
          <w:kern w:val="0"/>
          <w:sz w:val="24"/>
          <w:highlight w:val="none"/>
          <w:u w:val="single"/>
        </w:rPr>
        <w:t>采购</w:t>
      </w:r>
      <w:r>
        <w:rPr>
          <w:rFonts w:hint="eastAsia" w:ascii="宋体" w:hAnsi="宋体" w:cs="宋体"/>
          <w:snapToGrid w:val="0"/>
          <w:color w:val="auto"/>
          <w:kern w:val="0"/>
          <w:sz w:val="24"/>
          <w:highlight w:val="none"/>
          <w:u w:val="single"/>
          <w:lang w:val="en-US" w:eastAsia="zh-CN"/>
        </w:rPr>
        <w:t>需求</w:t>
      </w:r>
      <w:r>
        <w:rPr>
          <w:rFonts w:hint="eastAsia" w:ascii="宋体" w:hAnsi="宋体" w:eastAsia="宋体" w:cs="宋体"/>
          <w:snapToGrid w:val="0"/>
          <w:color w:val="auto"/>
          <w:kern w:val="0"/>
          <w:sz w:val="24"/>
          <w:highlight w:val="none"/>
        </w:rPr>
        <w:t>。</w:t>
      </w:r>
    </w:p>
    <w:p w14:paraId="41AB665A">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3</w:t>
      </w:r>
      <w:r>
        <w:rPr>
          <w:rFonts w:hint="eastAsia" w:ascii="宋体" w:hAnsi="宋体" w:eastAsia="宋体" w:cs="宋体"/>
          <w:snapToGrid w:val="0"/>
          <w:color w:val="auto"/>
          <w:kern w:val="0"/>
          <w:sz w:val="24"/>
          <w:highlight w:val="none"/>
        </w:rPr>
        <w:t>质量要求：</w:t>
      </w:r>
      <w:r>
        <w:rPr>
          <w:rFonts w:hint="eastAsia" w:ascii="宋体" w:hAnsi="宋体" w:eastAsia="宋体" w:cs="宋体"/>
          <w:snapToGrid w:val="0"/>
          <w:color w:val="auto"/>
          <w:kern w:val="0"/>
          <w:sz w:val="24"/>
          <w:highlight w:val="none"/>
          <w:u w:val="single"/>
          <w:lang w:val="en-US" w:eastAsia="zh-CN"/>
        </w:rPr>
        <w:t>合格</w:t>
      </w:r>
      <w:r>
        <w:rPr>
          <w:rFonts w:hint="eastAsia" w:ascii="宋体" w:hAnsi="宋体" w:eastAsia="宋体" w:cs="宋体"/>
          <w:snapToGrid w:val="0"/>
          <w:color w:val="auto"/>
          <w:kern w:val="0"/>
          <w:sz w:val="24"/>
          <w:highlight w:val="none"/>
          <w:lang w:val="en-US" w:eastAsia="zh-CN"/>
        </w:rPr>
        <w:t xml:space="preserve"> </w:t>
      </w:r>
      <w:r>
        <w:rPr>
          <w:rFonts w:hint="eastAsia" w:ascii="宋体" w:hAnsi="宋体" w:eastAsia="宋体" w:cs="宋体"/>
          <w:snapToGrid w:val="0"/>
          <w:color w:val="auto"/>
          <w:kern w:val="0"/>
          <w:sz w:val="24"/>
          <w:highlight w:val="none"/>
        </w:rPr>
        <w:t>。</w:t>
      </w:r>
    </w:p>
    <w:p w14:paraId="2E33E1BA">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none"/>
          <w:lang w:val="en-US" w:eastAsia="zh-CN"/>
        </w:rPr>
      </w:pPr>
      <w:r>
        <w:rPr>
          <w:rFonts w:hint="eastAsia" w:ascii="宋体" w:hAnsi="宋体" w:eastAsia="宋体" w:cs="宋体"/>
          <w:snapToGrid w:val="0"/>
          <w:color w:val="auto"/>
          <w:kern w:val="0"/>
          <w:sz w:val="24"/>
          <w:highlight w:val="none"/>
          <w:lang w:val="en-US" w:eastAsia="zh-CN"/>
        </w:rPr>
        <w:t>2.4 供货期:</w:t>
      </w:r>
      <w:r>
        <w:rPr>
          <w:rFonts w:hint="eastAsia" w:ascii="宋体" w:hAnsi="宋体" w:eastAsia="宋体" w:cs="宋体"/>
          <w:snapToGrid w:val="0"/>
          <w:color w:val="auto"/>
          <w:kern w:val="0"/>
          <w:sz w:val="24"/>
          <w:highlight w:val="none"/>
          <w:u w:val="single"/>
          <w:lang w:val="en-US" w:eastAsia="zh-CN"/>
        </w:rPr>
        <w:t xml:space="preserve"> 12个月。</w:t>
      </w:r>
    </w:p>
    <w:p w14:paraId="5AA0C22D">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lang w:val="en-US" w:eastAsia="zh-CN"/>
        </w:rPr>
      </w:pPr>
      <w:r>
        <w:rPr>
          <w:rFonts w:hint="eastAsia" w:ascii="宋体" w:hAnsi="宋体" w:eastAsia="宋体" w:cs="宋体"/>
          <w:snapToGrid w:val="0"/>
          <w:color w:val="auto"/>
          <w:kern w:val="0"/>
          <w:sz w:val="24"/>
          <w:highlight w:val="none"/>
        </w:rPr>
        <w:t>2.</w:t>
      </w:r>
      <w:r>
        <w:rPr>
          <w:rFonts w:hint="eastAsia" w:ascii="宋体" w:hAnsi="宋体" w:eastAsia="宋体" w:cs="宋体"/>
          <w:snapToGrid w:val="0"/>
          <w:color w:val="auto"/>
          <w:kern w:val="0"/>
          <w:sz w:val="24"/>
          <w:highlight w:val="none"/>
          <w:lang w:val="en-US" w:eastAsia="zh-CN"/>
        </w:rPr>
        <w:t>5</w:t>
      </w:r>
      <w:r>
        <w:rPr>
          <w:rFonts w:hint="eastAsia" w:ascii="宋体" w:hAnsi="宋体" w:eastAsia="宋体" w:cs="宋体"/>
          <w:snapToGrid w:val="0"/>
          <w:color w:val="auto"/>
          <w:kern w:val="0"/>
          <w:sz w:val="24"/>
          <w:highlight w:val="none"/>
        </w:rPr>
        <w:t>采购控制价：</w:t>
      </w:r>
      <w:r>
        <w:rPr>
          <w:rFonts w:hint="eastAsia" w:ascii="宋体" w:hAnsi="宋体" w:eastAsia="宋体" w:cs="宋体"/>
          <w:snapToGrid w:val="0"/>
          <w:color w:val="auto"/>
          <w:kern w:val="0"/>
          <w:sz w:val="24"/>
          <w:highlight w:val="none"/>
          <w:u w:val="single"/>
          <w:lang w:val="en-US" w:eastAsia="zh-CN"/>
        </w:rPr>
        <w:t>337.00万元，（含3%增值税专用发票）</w:t>
      </w:r>
      <w:r>
        <w:rPr>
          <w:rFonts w:hint="eastAsia" w:ascii="宋体" w:hAnsi="宋体" w:eastAsia="宋体" w:cs="宋体"/>
          <w:snapToGrid w:val="0"/>
          <w:color w:val="auto"/>
          <w:kern w:val="0"/>
          <w:sz w:val="24"/>
          <w:highlight w:val="none"/>
        </w:rPr>
        <w:t>。</w:t>
      </w:r>
    </w:p>
    <w:p w14:paraId="18E3D22C">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eastAsia="宋体" w:cs="宋体"/>
          <w:b/>
          <w:snapToGrid w:val="0"/>
          <w:color w:val="auto"/>
          <w:kern w:val="0"/>
          <w:sz w:val="24"/>
          <w:highlight w:val="none"/>
        </w:rPr>
      </w:pPr>
      <w:bookmarkStart w:id="25" w:name="_Toc91764921"/>
      <w:bookmarkStart w:id="26" w:name="_Toc19175"/>
      <w:bookmarkStart w:id="27" w:name="_Toc16991"/>
      <w:bookmarkStart w:id="28" w:name="_Toc29235"/>
      <w:r>
        <w:rPr>
          <w:rFonts w:hint="eastAsia" w:ascii="宋体" w:hAnsi="宋体" w:eastAsia="宋体" w:cs="宋体"/>
          <w:b/>
          <w:snapToGrid w:val="0"/>
          <w:color w:val="auto"/>
          <w:kern w:val="0"/>
          <w:sz w:val="24"/>
          <w:highlight w:val="none"/>
        </w:rPr>
        <w:t>3. 采购方式</w:t>
      </w:r>
      <w:bookmarkEnd w:id="20"/>
      <w:bookmarkEnd w:id="21"/>
      <w:bookmarkEnd w:id="22"/>
      <w:bookmarkEnd w:id="25"/>
      <w:r>
        <w:rPr>
          <w:rFonts w:hint="eastAsia" w:ascii="宋体" w:hAnsi="宋体" w:eastAsia="宋体" w:cs="宋体"/>
          <w:b/>
          <w:snapToGrid w:val="0"/>
          <w:color w:val="auto"/>
          <w:kern w:val="0"/>
          <w:sz w:val="24"/>
          <w:highlight w:val="none"/>
        </w:rPr>
        <w:t>和评审方法</w:t>
      </w:r>
      <w:bookmarkEnd w:id="26"/>
      <w:bookmarkEnd w:id="27"/>
      <w:bookmarkEnd w:id="28"/>
    </w:p>
    <w:bookmarkEnd w:id="23"/>
    <w:bookmarkEnd w:id="24"/>
    <w:p w14:paraId="5785935A">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kern w:val="0"/>
          <w:sz w:val="24"/>
          <w:szCs w:val="24"/>
          <w:highlight w:val="none"/>
        </w:rPr>
      </w:pPr>
      <w:bookmarkStart w:id="29" w:name="_Toc29828662"/>
      <w:bookmarkStart w:id="30" w:name="_Toc17992_WPSOffice_Level2"/>
      <w:bookmarkStart w:id="31" w:name="_Toc30283821"/>
      <w:bookmarkStart w:id="32" w:name="_Toc30283871"/>
      <w:r>
        <w:rPr>
          <w:rFonts w:hint="eastAsia" w:ascii="宋体" w:hAnsi="宋体" w:cs="宋体"/>
          <w:snapToGrid w:val="0"/>
          <w:color w:val="auto"/>
          <w:kern w:val="0"/>
          <w:sz w:val="24"/>
          <w:szCs w:val="24"/>
          <w:highlight w:val="none"/>
        </w:rPr>
        <w:t>3.1采购方式：询比采购；</w:t>
      </w:r>
    </w:p>
    <w:p w14:paraId="257E7961">
      <w:pPr>
        <w:tabs>
          <w:tab w:val="left" w:pos="0"/>
          <w:tab w:val="left" w:pos="1995"/>
          <w:tab w:val="center" w:pos="4541"/>
        </w:tabs>
        <w:adjustRightInd w:val="0"/>
        <w:snapToGrid w:val="0"/>
        <w:spacing w:line="440" w:lineRule="atLeast"/>
        <w:ind w:right="-10" w:rightChars="-5"/>
        <w:rPr>
          <w:rFonts w:ascii="宋体" w:hAnsi="宋体" w:cs="宋体"/>
          <w:snapToGrid w:val="0"/>
          <w:color w:val="auto"/>
          <w:kern w:val="0"/>
          <w:sz w:val="24"/>
          <w:szCs w:val="24"/>
          <w:highlight w:val="none"/>
        </w:rPr>
      </w:pPr>
      <w:r>
        <w:rPr>
          <w:rFonts w:hint="eastAsia" w:ascii="宋体" w:hAnsi="宋体" w:cs="宋体"/>
          <w:snapToGrid w:val="0"/>
          <w:color w:val="auto"/>
          <w:kern w:val="0"/>
          <w:sz w:val="24"/>
          <w:szCs w:val="24"/>
          <w:highlight w:val="none"/>
        </w:rPr>
        <w:t>3.2评审方法：</w:t>
      </w:r>
      <w:r>
        <w:rPr>
          <w:rFonts w:hint="eastAsia" w:ascii="宋体" w:hAnsi="宋体" w:cs="宋体"/>
          <w:snapToGrid w:val="0"/>
          <w:color w:val="auto"/>
          <w:kern w:val="0"/>
          <w:sz w:val="24"/>
          <w:szCs w:val="24"/>
          <w:highlight w:val="none"/>
          <w:lang w:val="en-US" w:eastAsia="zh-CN"/>
        </w:rPr>
        <w:t>综合评分法</w:t>
      </w:r>
      <w:r>
        <w:rPr>
          <w:rFonts w:hint="eastAsia" w:ascii="宋体" w:hAnsi="宋体" w:cs="宋体"/>
          <w:snapToGrid w:val="0"/>
          <w:color w:val="auto"/>
          <w:kern w:val="0"/>
          <w:sz w:val="24"/>
          <w:szCs w:val="24"/>
          <w:highlight w:val="none"/>
        </w:rPr>
        <w:t>。</w:t>
      </w:r>
    </w:p>
    <w:p w14:paraId="20297F7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63"/>
          <w:rFonts w:hint="eastAsia" w:ascii="宋体" w:hAnsi="宋体" w:cs="宋体"/>
          <w:color w:val="auto"/>
          <w:szCs w:val="24"/>
          <w:highlight w:val="none"/>
        </w:rPr>
      </w:pPr>
      <w:bookmarkStart w:id="33" w:name="_Toc23692"/>
      <w:bookmarkStart w:id="34" w:name="_Toc91764922"/>
      <w:bookmarkStart w:id="35" w:name="_Toc24688"/>
      <w:bookmarkStart w:id="36" w:name="_Toc504"/>
      <w:bookmarkStart w:id="37" w:name="_Toc14609"/>
      <w:r>
        <w:rPr>
          <w:rStyle w:val="163"/>
          <w:rFonts w:hint="eastAsia" w:ascii="宋体" w:hAnsi="宋体" w:cs="宋体"/>
          <w:color w:val="auto"/>
          <w:szCs w:val="24"/>
          <w:highlight w:val="none"/>
        </w:rPr>
        <w:t>4.</w:t>
      </w:r>
      <w:r>
        <w:rPr>
          <w:rStyle w:val="163"/>
          <w:rFonts w:ascii="宋体" w:hAnsi="宋体" w:cs="宋体"/>
          <w:color w:val="auto"/>
          <w:szCs w:val="24"/>
          <w:highlight w:val="none"/>
        </w:rPr>
        <w:t xml:space="preserve"> </w:t>
      </w:r>
      <w:r>
        <w:rPr>
          <w:rStyle w:val="163"/>
          <w:rFonts w:hint="eastAsia" w:ascii="宋体" w:hAnsi="宋体" w:cs="宋体"/>
          <w:color w:val="auto"/>
          <w:szCs w:val="24"/>
          <w:highlight w:val="none"/>
        </w:rPr>
        <w:t>响应单位参与资格条件</w:t>
      </w:r>
      <w:bookmarkEnd w:id="29"/>
      <w:bookmarkEnd w:id="30"/>
      <w:bookmarkEnd w:id="31"/>
      <w:bookmarkEnd w:id="32"/>
      <w:bookmarkEnd w:id="33"/>
      <w:bookmarkEnd w:id="34"/>
      <w:bookmarkEnd w:id="35"/>
      <w:bookmarkEnd w:id="36"/>
      <w:bookmarkEnd w:id="37"/>
    </w:p>
    <w:p w14:paraId="086F012E">
      <w:pPr>
        <w:tabs>
          <w:tab w:val="left" w:pos="0"/>
          <w:tab w:val="left" w:pos="1995"/>
          <w:tab w:val="center" w:pos="4541"/>
        </w:tabs>
        <w:adjustRightInd w:val="0"/>
        <w:snapToGrid w:val="0"/>
        <w:spacing w:line="480" w:lineRule="exac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4.1要求响应人具备以下资格条件：</w:t>
      </w:r>
      <w:r>
        <w:rPr>
          <w:rFonts w:ascii="宋体" w:hAnsi="宋体" w:cs="宋体"/>
          <w:snapToGrid w:val="0"/>
          <w:color w:val="auto"/>
          <w:kern w:val="0"/>
          <w:sz w:val="24"/>
          <w:szCs w:val="24"/>
          <w:highlight w:val="none"/>
        </w:rPr>
        <w:tab/>
      </w:r>
    </w:p>
    <w:p w14:paraId="51627682">
      <w:pPr>
        <w:adjustRightInd w:val="0"/>
        <w:snapToGrid w:val="0"/>
        <w:spacing w:line="480" w:lineRule="exac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4.1.1具有有效的营业执照</w:t>
      </w:r>
      <w:r>
        <w:rPr>
          <w:rFonts w:hint="eastAsia" w:ascii="宋体" w:hAnsi="宋体" w:cs="宋体"/>
          <w:bCs/>
          <w:snapToGrid w:val="0"/>
          <w:color w:val="auto"/>
          <w:sz w:val="24"/>
          <w:szCs w:val="24"/>
          <w:highlight w:val="none"/>
        </w:rPr>
        <w:t>；</w:t>
      </w:r>
    </w:p>
    <w:p w14:paraId="22B0752B">
      <w:pPr>
        <w:tabs>
          <w:tab w:val="left" w:pos="0"/>
          <w:tab w:val="left" w:pos="1995"/>
          <w:tab w:val="center" w:pos="4541"/>
        </w:tabs>
        <w:adjustRightInd w:val="0"/>
        <w:snapToGrid w:val="0"/>
        <w:spacing w:line="480" w:lineRule="exact"/>
        <w:ind w:right="-10" w:rightChars="-5"/>
        <w:rPr>
          <w:rFonts w:hint="eastAsia" w:ascii="宋体" w:hAnsi="宋体" w:cs="宋体"/>
          <w:snapToGrid w:val="0"/>
          <w:color w:val="auto"/>
          <w:sz w:val="24"/>
          <w:szCs w:val="24"/>
          <w:highlight w:val="none"/>
        </w:rPr>
      </w:pPr>
      <w:r>
        <w:rPr>
          <w:rFonts w:hint="eastAsia" w:ascii="宋体" w:hAnsi="宋体" w:cs="宋体"/>
          <w:snapToGrid w:val="0"/>
          <w:color w:val="auto"/>
          <w:kern w:val="0"/>
          <w:sz w:val="24"/>
          <w:szCs w:val="24"/>
          <w:highlight w:val="none"/>
        </w:rPr>
        <w:t>4.1.</w:t>
      </w:r>
      <w:r>
        <w:rPr>
          <w:rFonts w:hint="eastAsia" w:ascii="宋体" w:hAnsi="宋体" w:cs="宋体"/>
          <w:snapToGrid w:val="0"/>
          <w:color w:val="auto"/>
          <w:kern w:val="0"/>
          <w:sz w:val="24"/>
          <w:szCs w:val="24"/>
          <w:highlight w:val="none"/>
          <w:lang w:val="en-US" w:eastAsia="zh-CN"/>
        </w:rPr>
        <w:t>2</w:t>
      </w:r>
      <w:r>
        <w:rPr>
          <w:rFonts w:hint="eastAsia" w:ascii="宋体" w:hAnsi="宋体" w:cs="宋体"/>
          <w:snapToGrid w:val="0"/>
          <w:color w:val="auto"/>
          <w:kern w:val="0"/>
          <w:sz w:val="24"/>
          <w:szCs w:val="24"/>
          <w:highlight w:val="none"/>
        </w:rPr>
        <w:t>未被“信用中国”（www.creditc</w:t>
      </w:r>
      <w:r>
        <w:rPr>
          <w:rFonts w:hint="eastAsia" w:ascii="宋体" w:hAnsi="宋体" w:cs="宋体"/>
          <w:snapToGrid w:val="0"/>
          <w:color w:val="auto"/>
          <w:sz w:val="24"/>
          <w:szCs w:val="24"/>
          <w:highlight w:val="none"/>
        </w:rPr>
        <w:t>hina.gov.cn）列入失信惩戒（失信被执行人和重大税收违法案件当事人）、未被中国政府采购网（www.ccgp.gov.cn）列入政府采购严重违法失信行为记录名单。</w:t>
      </w:r>
    </w:p>
    <w:p w14:paraId="73AAD93C">
      <w:pPr>
        <w:adjustRightInd w:val="0"/>
        <w:snapToGrid w:val="0"/>
        <w:spacing w:line="480" w:lineRule="exact"/>
        <w:rPr>
          <w:rFonts w:ascii="宋体" w:hAnsi="宋体" w:cs="宋体"/>
          <w:snapToGrid w:val="0"/>
          <w:color w:val="auto"/>
          <w:sz w:val="24"/>
          <w:szCs w:val="24"/>
          <w:highlight w:val="none"/>
        </w:rPr>
      </w:pPr>
      <w:r>
        <w:rPr>
          <w:rFonts w:hint="eastAsia" w:ascii="宋体" w:hAnsi="宋体" w:cs="宋体"/>
          <w:snapToGrid w:val="0"/>
          <w:color w:val="auto"/>
          <w:sz w:val="24"/>
          <w:szCs w:val="24"/>
          <w:highlight w:val="none"/>
        </w:rPr>
        <w:t>4.2</w:t>
      </w:r>
      <w:r>
        <w:rPr>
          <w:rFonts w:ascii="宋体" w:hAnsi="宋体" w:cs="宋体"/>
          <w:snapToGrid w:val="0"/>
          <w:color w:val="auto"/>
          <w:sz w:val="24"/>
          <w:szCs w:val="24"/>
          <w:highlight w:val="none"/>
        </w:rPr>
        <w:t>单位负责人为同一人或者存在控股、管理关系的不同单位，不得同时参加本</w:t>
      </w:r>
      <w:r>
        <w:rPr>
          <w:rFonts w:hint="eastAsia" w:ascii="宋体" w:hAnsi="宋体" w:cs="宋体"/>
          <w:snapToGrid w:val="0"/>
          <w:color w:val="auto"/>
          <w:sz w:val="24"/>
          <w:szCs w:val="24"/>
          <w:highlight w:val="none"/>
        </w:rPr>
        <w:t>采购</w:t>
      </w:r>
      <w:r>
        <w:rPr>
          <w:rFonts w:ascii="宋体" w:hAnsi="宋体" w:cs="宋体"/>
          <w:snapToGrid w:val="0"/>
          <w:color w:val="auto"/>
          <w:sz w:val="24"/>
          <w:szCs w:val="24"/>
          <w:highlight w:val="none"/>
        </w:rPr>
        <w:t>项目响应。</w:t>
      </w:r>
    </w:p>
    <w:p w14:paraId="606D1B85">
      <w:pPr>
        <w:pStyle w:val="17"/>
        <w:spacing w:line="480" w:lineRule="exact"/>
        <w:rPr>
          <w:rFonts w:hint="eastAsia"/>
          <w:color w:val="auto"/>
          <w:highlight w:val="none"/>
        </w:rPr>
      </w:pPr>
      <w:r>
        <w:rPr>
          <w:rFonts w:hint="eastAsia" w:ascii="宋体" w:hAnsi="宋体" w:cs="宋体"/>
          <w:color w:val="auto"/>
          <w:sz w:val="24"/>
          <w:szCs w:val="24"/>
          <w:highlight w:val="none"/>
        </w:rPr>
        <w:t>4.3本项目</w:t>
      </w:r>
      <w:r>
        <w:rPr>
          <w:rFonts w:hint="eastAsia" w:ascii="宋体" w:hAnsi="宋体" w:cs="宋体"/>
          <w:color w:val="auto"/>
          <w:sz w:val="24"/>
          <w:szCs w:val="24"/>
          <w:highlight w:val="none"/>
          <w:u w:val="single"/>
        </w:rPr>
        <w:t xml:space="preserve"> 不接受 </w:t>
      </w:r>
      <w:r>
        <w:rPr>
          <w:rFonts w:hint="eastAsia" w:ascii="宋体" w:hAnsi="宋体" w:cs="宋体"/>
          <w:color w:val="auto"/>
          <w:sz w:val="24"/>
          <w:szCs w:val="24"/>
          <w:highlight w:val="none"/>
        </w:rPr>
        <w:t>联合体响应。</w:t>
      </w:r>
    </w:p>
    <w:p w14:paraId="05C935B9">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63"/>
          <w:rFonts w:hint="eastAsia" w:ascii="宋体" w:hAnsi="宋体" w:cs="宋体"/>
          <w:color w:val="auto"/>
          <w:szCs w:val="24"/>
          <w:highlight w:val="none"/>
        </w:rPr>
      </w:pPr>
      <w:bookmarkStart w:id="38" w:name="_Toc25331_WPSOffice_Level2"/>
      <w:bookmarkStart w:id="39" w:name="_Toc29828664"/>
      <w:bookmarkStart w:id="40" w:name="_Toc30283823"/>
      <w:bookmarkStart w:id="41" w:name="_Toc17375"/>
      <w:bookmarkStart w:id="42" w:name="_Toc30283515"/>
      <w:bookmarkStart w:id="43" w:name="_Toc12908"/>
      <w:bookmarkStart w:id="44" w:name="_Toc27253"/>
      <w:bookmarkStart w:id="45" w:name="_Toc91764923"/>
      <w:bookmarkStart w:id="46" w:name="_Toc30283873"/>
      <w:bookmarkStart w:id="47" w:name="_Toc2463"/>
      <w:r>
        <w:rPr>
          <w:rStyle w:val="163"/>
          <w:rFonts w:hint="eastAsia" w:ascii="宋体" w:hAnsi="宋体" w:cs="宋体"/>
          <w:color w:val="auto"/>
          <w:szCs w:val="24"/>
          <w:highlight w:val="none"/>
        </w:rPr>
        <w:t xml:space="preserve">5. </w:t>
      </w:r>
      <w:r>
        <w:rPr>
          <w:rStyle w:val="163"/>
          <w:rFonts w:hint="eastAsia" w:ascii="宋体" w:hAnsi="宋体" w:eastAsia="宋体" w:cs="宋体"/>
          <w:color w:val="auto"/>
          <w:szCs w:val="24"/>
          <w:highlight w:val="none"/>
          <w:lang w:val="en-US" w:eastAsia="zh-CN"/>
        </w:rPr>
        <w:t>采购</w:t>
      </w:r>
      <w:r>
        <w:rPr>
          <w:rStyle w:val="163"/>
          <w:rFonts w:hint="eastAsia" w:ascii="宋体" w:hAnsi="宋体" w:cs="宋体"/>
          <w:color w:val="auto"/>
          <w:szCs w:val="24"/>
          <w:highlight w:val="none"/>
        </w:rPr>
        <w:t>文件的获取</w:t>
      </w:r>
      <w:bookmarkEnd w:id="38"/>
      <w:bookmarkEnd w:id="39"/>
      <w:bookmarkEnd w:id="40"/>
      <w:bookmarkEnd w:id="41"/>
      <w:bookmarkEnd w:id="42"/>
      <w:bookmarkEnd w:id="43"/>
      <w:bookmarkEnd w:id="44"/>
      <w:bookmarkEnd w:id="45"/>
      <w:bookmarkEnd w:id="46"/>
      <w:bookmarkEnd w:id="47"/>
    </w:p>
    <w:p w14:paraId="29D5B5A8">
      <w:pPr>
        <w:keepNext w:val="0"/>
        <w:keepLines w:val="0"/>
        <w:pageBreakBefore w:val="0"/>
        <w:kinsoku/>
        <w:wordWrap/>
        <w:overflowPunct/>
        <w:topLinePunct w:val="0"/>
        <w:autoSpaceDE/>
        <w:autoSpaceDN/>
        <w:bidi w:val="0"/>
        <w:adjustRightInd w:val="0"/>
        <w:snapToGrid w:val="0"/>
        <w:spacing w:after="157" w:afterLines="50" w:line="440" w:lineRule="atLeast"/>
        <w:textAlignment w:val="auto"/>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13</w:t>
      </w:r>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19</w:t>
      </w:r>
      <w:r>
        <w:rPr>
          <w:rFonts w:hint="eastAsia" w:ascii="宋体" w:hAnsi="宋体"/>
          <w:snapToGrid w:val="0"/>
          <w:color w:val="auto"/>
          <w:sz w:val="24"/>
          <w:highlight w:val="none"/>
        </w:rPr>
        <w:t>日，在浙江钱塘江水利建筑工程有限公司（http://www.qtjsj.com/）首页中下载该项目电子采购文件。</w:t>
      </w:r>
    </w:p>
    <w:p w14:paraId="788F7BC5">
      <w:pPr>
        <w:keepNext w:val="0"/>
        <w:keepLines w:val="0"/>
        <w:pageBreakBefore w:val="0"/>
        <w:kinsoku/>
        <w:wordWrap/>
        <w:overflowPunct/>
        <w:topLinePunct w:val="0"/>
        <w:autoSpaceDE/>
        <w:autoSpaceDN/>
        <w:bidi w:val="0"/>
        <w:spacing w:after="157" w:afterLines="50"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lang w:val="en-US" w:eastAsia="zh-CN"/>
        </w:rPr>
        <w:t>2026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8</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20</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9 </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00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279B2681">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jc w:val="left"/>
        <w:textAlignment w:val="auto"/>
        <w:rPr>
          <w:rFonts w:hint="eastAsia" w:ascii="宋体" w:hAnsi="宋体" w:cs="宋体"/>
          <w:color w:val="auto"/>
          <w:sz w:val="24"/>
          <w:szCs w:val="24"/>
          <w:highlight w:val="none"/>
        </w:rPr>
      </w:pPr>
      <w:r>
        <w:rPr>
          <w:rFonts w:hint="eastAsia" w:ascii="宋体" w:hAnsi="宋体" w:cs="宋体"/>
          <w:color w:val="auto"/>
          <w:sz w:val="24"/>
          <w:highlight w:val="none"/>
        </w:rPr>
        <w:t>5.3</w:t>
      </w:r>
      <w:r>
        <w:rPr>
          <w:rFonts w:hint="eastAsia" w:ascii="宋体" w:hAnsi="宋体" w:cs="宋体"/>
          <w:sz w:val="24"/>
        </w:rPr>
        <w:t>线下递交：</w:t>
      </w:r>
      <w:r>
        <w:rPr>
          <w:rFonts w:hint="eastAsia" w:ascii="宋体" w:hAnsi="宋体" w:cs="宋体"/>
          <w:b/>
          <w:bCs/>
          <w:color w:val="auto"/>
          <w:sz w:val="24"/>
          <w:highlight w:val="none"/>
        </w:rPr>
        <w:t>采用纸质响应文件</w:t>
      </w:r>
      <w:r>
        <w:rPr>
          <w:rFonts w:hint="eastAsia" w:ascii="宋体" w:hAnsi="宋体" w:cs="宋体"/>
          <w:color w:val="auto"/>
          <w:sz w:val="24"/>
          <w:highlight w:val="none"/>
        </w:rPr>
        <w:t>，递交地点：</w:t>
      </w:r>
      <w:r>
        <w:rPr>
          <w:rFonts w:hint="eastAsia" w:ascii="宋体" w:hAnsi="宋体" w:cs="宋体"/>
          <w:color w:val="auto"/>
          <w:sz w:val="24"/>
          <w:highlight w:val="none"/>
          <w:u w:val="single"/>
        </w:rPr>
        <w:t>浙江钱塘江水利建筑工程有限公司会议室（杭州市上城区婺江路217号近江时代大厦B座</w:t>
      </w:r>
      <w:r>
        <w:rPr>
          <w:rFonts w:hint="eastAsia" w:ascii="宋体" w:hAnsi="宋体" w:cs="宋体"/>
          <w:color w:val="auto"/>
          <w:sz w:val="24"/>
          <w:highlight w:val="none"/>
          <w:u w:val="single"/>
          <w:lang w:val="en-US" w:eastAsia="zh-CN"/>
        </w:rPr>
        <w:t>15A楼</w:t>
      </w:r>
      <w:r>
        <w:rPr>
          <w:rFonts w:hint="eastAsia" w:ascii="宋体" w:hAnsi="宋体" w:cs="宋体"/>
          <w:color w:val="auto"/>
          <w:sz w:val="24"/>
          <w:highlight w:val="none"/>
          <w:u w:val="single"/>
        </w:rPr>
        <w:t>）</w:t>
      </w:r>
      <w:r>
        <w:rPr>
          <w:rFonts w:hint="eastAsia" w:ascii="宋体" w:hAnsi="宋体" w:cs="宋体"/>
          <w:color w:val="auto"/>
          <w:sz w:val="24"/>
          <w:highlight w:val="none"/>
        </w:rPr>
        <w:t>。</w:t>
      </w:r>
      <w:r>
        <w:rPr>
          <w:rFonts w:hint="eastAsia" w:ascii="宋体" w:hAnsi="宋体"/>
          <w:b/>
          <w:snapToGrid w:val="0"/>
          <w:color w:val="auto"/>
          <w:kern w:val="0"/>
          <w:sz w:val="24"/>
          <w:szCs w:val="24"/>
          <w:highlight w:val="none"/>
        </w:rPr>
        <w:t>（联系人：</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lang w:val="en-US" w:eastAsia="zh-CN"/>
        </w:rPr>
        <w:t>王</w:t>
      </w:r>
      <w:r>
        <w:rPr>
          <w:rFonts w:hint="eastAsia" w:ascii="宋体" w:hAnsi="宋体"/>
          <w:b/>
          <w:snapToGrid w:val="0"/>
          <w:color w:val="auto"/>
          <w:kern w:val="0"/>
          <w:sz w:val="24"/>
          <w:szCs w:val="24"/>
          <w:highlight w:val="none"/>
          <w:u w:val="single"/>
        </w:rPr>
        <w:t xml:space="preserve">先生 </w:t>
      </w:r>
      <w:r>
        <w:rPr>
          <w:rFonts w:hint="eastAsia" w:ascii="宋体" w:hAnsi="宋体"/>
          <w:b/>
          <w:snapToGrid w:val="0"/>
          <w:color w:val="auto"/>
          <w:kern w:val="0"/>
          <w:sz w:val="24"/>
          <w:szCs w:val="24"/>
          <w:highlight w:val="none"/>
        </w:rPr>
        <w:t>收，电话：</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0571-86434997</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rPr>
        <w:t>）</w:t>
      </w:r>
      <w:r>
        <w:rPr>
          <w:rFonts w:hint="eastAsia" w:ascii="宋体" w:hAnsi="宋体" w:cs="宋体"/>
          <w:color w:val="auto"/>
          <w:sz w:val="24"/>
          <w:szCs w:val="24"/>
          <w:highlight w:val="none"/>
        </w:rPr>
        <w:t>。</w:t>
      </w:r>
    </w:p>
    <w:p w14:paraId="6D317E19">
      <w:pPr>
        <w:spacing w:line="360" w:lineRule="auto"/>
        <w:outlineLvl w:val="1"/>
        <w:rPr>
          <w:rStyle w:val="163"/>
          <w:rFonts w:hint="eastAsia" w:ascii="宋体" w:hAnsi="宋体" w:cs="宋体"/>
          <w:color w:val="auto"/>
          <w:szCs w:val="24"/>
          <w:highlight w:val="none"/>
        </w:rPr>
      </w:pPr>
      <w:bookmarkStart w:id="48" w:name="_Toc4593"/>
      <w:r>
        <w:rPr>
          <w:rStyle w:val="163"/>
          <w:rFonts w:hint="eastAsia" w:ascii="宋体" w:hAnsi="宋体" w:cs="宋体"/>
          <w:color w:val="auto"/>
          <w:szCs w:val="24"/>
          <w:highlight w:val="none"/>
        </w:rPr>
        <w:t>6. 响应保证金</w:t>
      </w:r>
      <w:bookmarkEnd w:id="48"/>
    </w:p>
    <w:p w14:paraId="0090F839">
      <w:pPr>
        <w:spacing w:line="360" w:lineRule="auto"/>
        <w:ind w:firstLine="480" w:firstLineChars="200"/>
        <w:rPr>
          <w:rFonts w:hint="eastAsia" w:ascii="宋体" w:hAnsi="宋体"/>
          <w:snapToGrid w:val="0"/>
          <w:color w:val="auto"/>
          <w:sz w:val="24"/>
          <w:highlight w:val="none"/>
        </w:rPr>
      </w:pPr>
      <w:r>
        <w:rPr>
          <w:rFonts w:hint="eastAsia" w:ascii="宋体" w:hAnsi="宋体"/>
          <w:snapToGrid w:val="0"/>
          <w:color w:val="auto"/>
          <w:sz w:val="24"/>
          <w:highlight w:val="none"/>
        </w:rPr>
        <w:t>响应保证金递交方式：银行转帐，须在银行汇款回单备注栏中注明采购编号及项目名称（简写），以便登记、查询。</w:t>
      </w:r>
    </w:p>
    <w:p w14:paraId="380C7E71">
      <w:pPr>
        <w:spacing w:line="360" w:lineRule="auto"/>
        <w:ind w:firstLine="480" w:firstLineChars="200"/>
        <w:rPr>
          <w:rFonts w:hint="eastAsia" w:ascii="宋体" w:hAnsi="宋体"/>
          <w:snapToGrid w:val="0"/>
          <w:color w:val="auto"/>
          <w:sz w:val="24"/>
          <w:highlight w:val="none"/>
        </w:rPr>
      </w:pPr>
      <w:r>
        <w:rPr>
          <w:rFonts w:hint="eastAsia" w:ascii="宋体" w:hAnsi="宋体"/>
          <w:snapToGrid w:val="0"/>
          <w:color w:val="auto"/>
          <w:sz w:val="24"/>
          <w:highlight w:val="none"/>
        </w:rPr>
        <w:t>响应保证金的金额：</w:t>
      </w:r>
      <w:r>
        <w:rPr>
          <w:rFonts w:hint="eastAsia" w:ascii="宋体" w:hAnsi="宋体"/>
          <w:snapToGrid w:val="0"/>
          <w:color w:val="auto"/>
          <w:sz w:val="24"/>
          <w:highlight w:val="none"/>
          <w:u w:val="single"/>
          <w:lang w:val="en-US" w:eastAsia="zh-CN"/>
        </w:rPr>
        <w:t xml:space="preserve"> 伍万元整 </w:t>
      </w:r>
      <w:r>
        <w:rPr>
          <w:rFonts w:hint="eastAsia" w:ascii="宋体" w:hAnsi="宋体"/>
          <w:snapToGrid w:val="0"/>
          <w:color w:val="auto"/>
          <w:sz w:val="24"/>
          <w:highlight w:val="none"/>
        </w:rPr>
        <w:t>。</w:t>
      </w:r>
      <w:r>
        <w:rPr>
          <w:rFonts w:hint="eastAsia" w:ascii="宋体" w:hAnsi="宋体"/>
          <w:snapToGrid w:val="0"/>
          <w:color w:val="auto"/>
          <w:sz w:val="24"/>
          <w:highlight w:val="none"/>
          <w:lang w:val="en-US" w:eastAsia="zh-CN"/>
        </w:rPr>
        <w:t>响应</w:t>
      </w:r>
      <w:r>
        <w:rPr>
          <w:rFonts w:hint="eastAsia" w:ascii="宋体" w:hAnsi="宋体"/>
          <w:snapToGrid w:val="0"/>
          <w:color w:val="auto"/>
          <w:sz w:val="24"/>
          <w:highlight w:val="none"/>
        </w:rPr>
        <w:t>人须在响应文件递交截止时间前</w:t>
      </w:r>
      <w:r>
        <w:rPr>
          <w:rFonts w:hint="eastAsia" w:ascii="宋体" w:hAnsi="宋体"/>
          <w:snapToGrid w:val="0"/>
          <w:color w:val="auto"/>
          <w:sz w:val="24"/>
          <w:highlight w:val="none"/>
          <w:lang w:val="en-US" w:eastAsia="zh-CN"/>
        </w:rPr>
        <w:t>一天</w:t>
      </w:r>
      <w:r>
        <w:rPr>
          <w:rFonts w:hint="eastAsia" w:ascii="宋体" w:hAnsi="宋体"/>
          <w:snapToGrid w:val="0"/>
          <w:color w:val="auto"/>
          <w:sz w:val="24"/>
          <w:highlight w:val="none"/>
          <w:u w:val="single"/>
          <w:lang w:val="en-US" w:eastAsia="zh-CN"/>
        </w:rPr>
        <w:t>2026</w:t>
      </w:r>
      <w:r>
        <w:rPr>
          <w:rFonts w:hint="eastAsia" w:ascii="宋体" w:hAnsi="宋体"/>
          <w:snapToGrid w:val="0"/>
          <w:color w:val="auto"/>
          <w:sz w:val="24"/>
          <w:highlight w:val="none"/>
          <w:lang w:val="en-US" w:eastAsia="zh-CN"/>
        </w:rPr>
        <w:t>年</w:t>
      </w:r>
      <w:r>
        <w:rPr>
          <w:rFonts w:hint="eastAsia" w:ascii="宋体" w:hAnsi="宋体"/>
          <w:snapToGrid w:val="0"/>
          <w:color w:val="auto"/>
          <w:sz w:val="24"/>
          <w:highlight w:val="none"/>
          <w:u w:val="single"/>
          <w:lang w:val="en-US" w:eastAsia="zh-CN"/>
        </w:rPr>
        <w:t>8</w:t>
      </w:r>
      <w:r>
        <w:rPr>
          <w:rFonts w:hint="eastAsia" w:ascii="宋体" w:hAnsi="宋体"/>
          <w:snapToGrid w:val="0"/>
          <w:color w:val="auto"/>
          <w:sz w:val="24"/>
          <w:highlight w:val="none"/>
          <w:lang w:val="en-US" w:eastAsia="zh-CN"/>
        </w:rPr>
        <w:t>月</w:t>
      </w:r>
      <w:r>
        <w:rPr>
          <w:rFonts w:hint="eastAsia" w:ascii="宋体" w:hAnsi="宋体"/>
          <w:snapToGrid w:val="0"/>
          <w:color w:val="auto"/>
          <w:sz w:val="24"/>
          <w:highlight w:val="none"/>
          <w:u w:val="single"/>
          <w:lang w:val="en-US" w:eastAsia="zh-CN"/>
        </w:rPr>
        <w:t>19</w:t>
      </w:r>
      <w:r>
        <w:rPr>
          <w:rFonts w:hint="eastAsia" w:ascii="宋体" w:hAnsi="宋体"/>
          <w:snapToGrid w:val="0"/>
          <w:color w:val="auto"/>
          <w:sz w:val="24"/>
          <w:highlight w:val="none"/>
          <w:lang w:val="en-US" w:eastAsia="zh-CN"/>
        </w:rPr>
        <w:t>日</w:t>
      </w:r>
      <w:r>
        <w:rPr>
          <w:rFonts w:hint="eastAsia" w:ascii="宋体" w:hAnsi="宋体"/>
          <w:snapToGrid w:val="0"/>
          <w:color w:val="auto"/>
          <w:sz w:val="24"/>
          <w:highlight w:val="none"/>
          <w:u w:val="single"/>
          <w:lang w:val="en-US" w:eastAsia="zh-CN"/>
        </w:rPr>
        <w:t>16</w:t>
      </w:r>
      <w:r>
        <w:rPr>
          <w:rFonts w:hint="eastAsia" w:ascii="宋体" w:hAnsi="宋体"/>
          <w:snapToGrid w:val="0"/>
          <w:color w:val="auto"/>
          <w:sz w:val="24"/>
          <w:highlight w:val="none"/>
          <w:lang w:val="en-US" w:eastAsia="zh-CN"/>
        </w:rPr>
        <w:t>时</w:t>
      </w:r>
      <w:r>
        <w:rPr>
          <w:rFonts w:hint="eastAsia" w:ascii="宋体" w:hAnsi="宋体"/>
          <w:snapToGrid w:val="0"/>
          <w:color w:val="auto"/>
          <w:sz w:val="24"/>
          <w:highlight w:val="none"/>
          <w:u w:val="single"/>
          <w:lang w:val="en-US" w:eastAsia="zh-CN"/>
        </w:rPr>
        <w:t>00</w:t>
      </w:r>
      <w:r>
        <w:rPr>
          <w:rFonts w:hint="eastAsia" w:ascii="宋体" w:hAnsi="宋体"/>
          <w:snapToGrid w:val="0"/>
          <w:color w:val="auto"/>
          <w:sz w:val="24"/>
          <w:highlight w:val="none"/>
          <w:lang w:val="en-US" w:eastAsia="zh-CN"/>
        </w:rPr>
        <w:t>分</w:t>
      </w:r>
      <w:r>
        <w:rPr>
          <w:rFonts w:hint="eastAsia" w:ascii="宋体" w:hAnsi="宋体"/>
          <w:snapToGrid w:val="0"/>
          <w:color w:val="auto"/>
          <w:sz w:val="24"/>
          <w:highlight w:val="none"/>
        </w:rPr>
        <w:t>一次性足额将响应保证金缴存至专用账户。</w:t>
      </w:r>
    </w:p>
    <w:p w14:paraId="211D06CD">
      <w:pPr>
        <w:spacing w:line="360" w:lineRule="auto"/>
        <w:ind w:firstLine="240" w:firstLineChars="100"/>
        <w:rPr>
          <w:rFonts w:hint="eastAsia" w:ascii="宋体" w:hAnsi="宋体"/>
          <w:snapToGrid w:val="0"/>
          <w:color w:val="auto"/>
          <w:sz w:val="24"/>
          <w:highlight w:val="none"/>
        </w:rPr>
      </w:pPr>
      <w:r>
        <w:rPr>
          <w:rFonts w:hint="eastAsia" w:ascii="宋体" w:hAnsi="宋体"/>
          <w:snapToGrid w:val="0"/>
          <w:color w:val="auto"/>
          <w:sz w:val="24"/>
          <w:highlight w:val="none"/>
        </w:rPr>
        <w:t>帐户名：浙江钱塘江水利建筑工程有限公司</w:t>
      </w:r>
    </w:p>
    <w:p w14:paraId="24A4D543">
      <w:pPr>
        <w:spacing w:line="360" w:lineRule="auto"/>
        <w:ind w:firstLine="240" w:firstLineChars="100"/>
        <w:rPr>
          <w:rFonts w:hint="eastAsia" w:ascii="宋体" w:hAnsi="宋体"/>
          <w:snapToGrid w:val="0"/>
          <w:color w:val="auto"/>
          <w:sz w:val="24"/>
          <w:highlight w:val="none"/>
        </w:rPr>
      </w:pPr>
      <w:r>
        <w:rPr>
          <w:rFonts w:hint="eastAsia" w:ascii="宋体" w:hAnsi="宋体"/>
          <w:snapToGrid w:val="0"/>
          <w:color w:val="auto"/>
          <w:sz w:val="24"/>
          <w:highlight w:val="none"/>
        </w:rPr>
        <w:t>开户行：中国工商银行杭州市半山支行</w:t>
      </w:r>
    </w:p>
    <w:p w14:paraId="6DE59AC1">
      <w:pPr>
        <w:spacing w:line="360" w:lineRule="auto"/>
        <w:ind w:firstLine="240" w:firstLineChars="100"/>
        <w:rPr>
          <w:rFonts w:hint="eastAsia" w:ascii="宋体" w:hAnsi="宋体"/>
          <w:snapToGrid w:val="0"/>
          <w:color w:val="FF0000"/>
          <w:sz w:val="24"/>
          <w:highlight w:val="yellow"/>
        </w:rPr>
      </w:pPr>
      <w:r>
        <w:rPr>
          <w:rFonts w:hint="eastAsia" w:ascii="宋体" w:hAnsi="宋体"/>
          <w:snapToGrid w:val="0"/>
          <w:color w:val="auto"/>
          <w:sz w:val="24"/>
          <w:highlight w:val="none"/>
        </w:rPr>
        <w:t>银行帐号：1202020019900138552</w:t>
      </w:r>
    </w:p>
    <w:p w14:paraId="5686A9ED">
      <w:pPr>
        <w:keepNext w:val="0"/>
        <w:keepLines w:val="0"/>
        <w:pageBreakBefore w:val="0"/>
        <w:kinsoku/>
        <w:wordWrap/>
        <w:overflowPunct/>
        <w:topLinePunct w:val="0"/>
        <w:bidi w:val="0"/>
        <w:adjustRightInd/>
        <w:snapToGrid/>
        <w:spacing w:line="360" w:lineRule="auto"/>
        <w:textAlignment w:val="auto"/>
        <w:outlineLvl w:val="1"/>
        <w:rPr>
          <w:rStyle w:val="163"/>
          <w:rFonts w:hint="eastAsia" w:ascii="宋体" w:hAnsi="宋体" w:cs="宋体"/>
          <w:color w:val="auto"/>
          <w:szCs w:val="24"/>
          <w:highlight w:val="none"/>
        </w:rPr>
      </w:pPr>
      <w:bookmarkStart w:id="49" w:name="_Toc30283519"/>
      <w:bookmarkStart w:id="50" w:name="_Toc6047"/>
      <w:bookmarkStart w:id="51" w:name="_Toc30283877"/>
      <w:bookmarkStart w:id="52" w:name="_Toc15944"/>
      <w:bookmarkStart w:id="53" w:name="_Toc32013"/>
      <w:bookmarkStart w:id="54" w:name="_Toc91764925"/>
      <w:bookmarkStart w:id="55" w:name="_Toc24570"/>
      <w:bookmarkStart w:id="56" w:name="_Toc29828668"/>
      <w:bookmarkStart w:id="57" w:name="_Toc16769"/>
      <w:bookmarkStart w:id="58" w:name="_Toc23333"/>
      <w:bookmarkStart w:id="59" w:name="_Toc3211_WPSOffice_Level2"/>
      <w:bookmarkStart w:id="60" w:name="_Toc30283827"/>
      <w:bookmarkStart w:id="61" w:name="_Toc16398"/>
      <w:r>
        <w:rPr>
          <w:rStyle w:val="163"/>
          <w:rFonts w:hint="eastAsia" w:ascii="宋体" w:hAnsi="宋体" w:eastAsia="宋体" w:cs="宋体"/>
          <w:color w:val="auto"/>
          <w:szCs w:val="24"/>
          <w:highlight w:val="none"/>
          <w:lang w:val="en-US" w:eastAsia="zh-CN"/>
        </w:rPr>
        <w:t>7</w:t>
      </w:r>
      <w:r>
        <w:rPr>
          <w:rStyle w:val="163"/>
          <w:rFonts w:hint="eastAsia" w:ascii="宋体" w:hAnsi="宋体" w:cs="宋体"/>
          <w:color w:val="auto"/>
          <w:szCs w:val="24"/>
          <w:highlight w:val="none"/>
        </w:rPr>
        <w:t>. 联系方式</w:t>
      </w:r>
      <w:bookmarkEnd w:id="49"/>
      <w:bookmarkEnd w:id="50"/>
      <w:bookmarkEnd w:id="51"/>
      <w:bookmarkEnd w:id="52"/>
      <w:bookmarkEnd w:id="53"/>
      <w:bookmarkEnd w:id="54"/>
      <w:bookmarkEnd w:id="55"/>
      <w:bookmarkEnd w:id="56"/>
      <w:bookmarkEnd w:id="57"/>
      <w:bookmarkEnd w:id="58"/>
      <w:bookmarkEnd w:id="59"/>
      <w:bookmarkEnd w:id="60"/>
      <w:bookmarkEnd w:id="61"/>
    </w:p>
    <w:p w14:paraId="5E8D9A2D">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rPr>
        <w:t>浙江钱塘江水利建筑工程有限公司</w:t>
      </w:r>
      <w:r>
        <w:rPr>
          <w:rFonts w:hint="eastAsia" w:ascii="宋体" w:hAnsi="宋体" w:cs="宋体"/>
          <w:snapToGrid w:val="0"/>
          <w:color w:val="auto"/>
          <w:spacing w:val="8"/>
          <w:kern w:val="0"/>
          <w:sz w:val="24"/>
          <w:highlight w:val="none"/>
        </w:rPr>
        <w:t xml:space="preserve"> </w:t>
      </w:r>
    </w:p>
    <w:p w14:paraId="1B97BA54">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7BBFB837">
      <w:pPr>
        <w:pStyle w:val="465"/>
        <w:keepNext w:val="0"/>
        <w:keepLines w:val="0"/>
        <w:pageBreakBefore w:val="0"/>
        <w:kinsoku/>
        <w:wordWrap/>
        <w:overflowPunct/>
        <w:topLinePunct w:val="0"/>
        <w:bidi w:val="0"/>
        <w:adjustRightInd/>
        <w:snapToGrid/>
        <w:spacing w:after="0" w:line="360" w:lineRule="auto"/>
        <w:ind w:left="0" w:leftChars="0" w:firstLine="512" w:firstLineChars="200"/>
        <w:textAlignment w:val="auto"/>
        <w:rPr>
          <w:rFonts w:hint="default" w:hAnsi="宋体" w:eastAsia="宋体"/>
          <w:snapToGrid w:val="0"/>
          <w:color w:val="auto"/>
          <w:highlight w:val="none"/>
          <w:u w:val="single"/>
          <w:lang w:val="en-US"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ascii="宋体" w:hAnsi="宋体" w:cs="宋体"/>
          <w:snapToGrid w:val="0"/>
          <w:color w:val="auto"/>
          <w:spacing w:val="8"/>
          <w:kern w:val="0"/>
          <w:sz w:val="24"/>
          <w:highlight w:val="none"/>
          <w:u w:val="single"/>
        </w:rPr>
        <w:t>0571-86</w:t>
      </w:r>
      <w:r>
        <w:rPr>
          <w:rFonts w:hint="eastAsia" w:ascii="宋体" w:hAnsi="宋体" w:cs="宋体"/>
          <w:snapToGrid w:val="0"/>
          <w:color w:val="auto"/>
          <w:spacing w:val="8"/>
          <w:kern w:val="0"/>
          <w:sz w:val="24"/>
          <w:highlight w:val="none"/>
          <w:u w:val="single"/>
          <w:lang w:val="en-US" w:eastAsia="zh-CN"/>
        </w:rPr>
        <w:t>952644</w:t>
      </w:r>
    </w:p>
    <w:p w14:paraId="500C2FE5">
      <w:pPr>
        <w:pStyle w:val="18"/>
        <w:keepNext w:val="0"/>
        <w:keepLines w:val="0"/>
        <w:pageBreakBefore w:val="0"/>
        <w:kinsoku/>
        <w:wordWrap/>
        <w:overflowPunct/>
        <w:topLinePunct w:val="0"/>
        <w:bidi w:val="0"/>
        <w:adjustRightInd/>
        <w:snapToGrid/>
        <w:spacing w:after="0" w:afterLines="0" w:line="360" w:lineRule="auto"/>
        <w:ind w:left="0" w:leftChars="0" w:firstLine="512" w:firstLineChars="200"/>
        <w:textAlignment w:val="auto"/>
        <w:rPr>
          <w:rFonts w:hint="eastAsia" w:ascii="宋体" w:hAnsi="宋体" w:cs="宋体"/>
          <w:color w:val="auto"/>
          <w:sz w:val="24"/>
          <w:highlight w:val="none"/>
          <w:u w:val="single"/>
        </w:rPr>
      </w:pPr>
      <w:r>
        <w:rPr>
          <w:rFonts w:hint="eastAsia" w:ascii="宋体" w:hAnsi="宋体" w:cs="宋体"/>
          <w:snapToGrid w:val="0"/>
          <w:color w:val="auto"/>
          <w:spacing w:val="8"/>
          <w:kern w:val="0"/>
          <w:sz w:val="24"/>
          <w:highlight w:val="none"/>
        </w:rPr>
        <w:t>地    址：</w:t>
      </w:r>
      <w:r>
        <w:rPr>
          <w:rFonts w:hint="eastAsia" w:ascii="宋体" w:hAnsi="宋体" w:cs="宋体"/>
          <w:color w:val="auto"/>
          <w:sz w:val="24"/>
          <w:highlight w:val="none"/>
          <w:u w:val="single"/>
        </w:rPr>
        <w:t>浙江省杭州市上城区婺江路217号近江时代大厦B座</w:t>
      </w:r>
      <w:r>
        <w:rPr>
          <w:rFonts w:hint="eastAsia" w:ascii="宋体" w:hAnsi="宋体" w:cs="宋体"/>
          <w:color w:val="auto"/>
          <w:sz w:val="24"/>
          <w:highlight w:val="none"/>
          <w:u w:val="single"/>
          <w:lang w:val="en-US" w:eastAsia="zh-CN"/>
        </w:rPr>
        <w:t>15A楼</w:t>
      </w:r>
    </w:p>
    <w:p w14:paraId="25297E0D">
      <w:pPr>
        <w:pStyle w:val="18"/>
        <w:ind w:firstLine="240"/>
        <w:rPr>
          <w:rFonts w:hint="eastAsia" w:ascii="宋体" w:hAnsi="宋体" w:cs="宋体"/>
          <w:color w:val="auto"/>
          <w:sz w:val="24"/>
          <w:highlight w:val="none"/>
        </w:rPr>
      </w:pPr>
    </w:p>
    <w:p w14:paraId="115BA580">
      <w:pPr>
        <w:pStyle w:val="18"/>
        <w:ind w:firstLine="240"/>
        <w:rPr>
          <w:rFonts w:hint="eastAsia" w:ascii="宋体" w:hAnsi="宋体" w:cs="宋体"/>
          <w:color w:val="auto"/>
          <w:sz w:val="24"/>
          <w:highlight w:val="none"/>
        </w:rPr>
      </w:pPr>
    </w:p>
    <w:p w14:paraId="1C5B5396">
      <w:pPr>
        <w:pStyle w:val="18"/>
        <w:ind w:firstLine="240"/>
        <w:rPr>
          <w:rFonts w:hint="eastAsia" w:ascii="宋体" w:hAnsi="宋体" w:cs="宋体"/>
          <w:color w:val="auto"/>
          <w:sz w:val="24"/>
          <w:highlight w:val="none"/>
        </w:rPr>
      </w:pPr>
    </w:p>
    <w:p w14:paraId="5D93B512">
      <w:pPr>
        <w:pStyle w:val="18"/>
        <w:ind w:firstLine="240"/>
        <w:rPr>
          <w:rFonts w:hint="eastAsia" w:ascii="宋体" w:hAnsi="宋体" w:cs="宋体"/>
          <w:color w:val="auto"/>
          <w:sz w:val="24"/>
          <w:highlight w:val="none"/>
        </w:rPr>
      </w:pPr>
    </w:p>
    <w:p w14:paraId="4343F08D">
      <w:pPr>
        <w:pStyle w:val="18"/>
        <w:ind w:firstLine="240"/>
        <w:rPr>
          <w:rFonts w:hint="eastAsia" w:ascii="宋体" w:hAnsi="宋体" w:cs="宋体"/>
          <w:color w:val="auto"/>
          <w:sz w:val="24"/>
          <w:highlight w:val="none"/>
        </w:rPr>
      </w:pPr>
    </w:p>
    <w:p w14:paraId="021600DB">
      <w:pPr>
        <w:widowControl/>
        <w:tabs>
          <w:tab w:val="left" w:pos="0"/>
          <w:tab w:val="left" w:pos="1995"/>
        </w:tabs>
        <w:adjustRightInd w:val="0"/>
        <w:snapToGrid w:val="0"/>
        <w:spacing w:line="440" w:lineRule="exact"/>
        <w:jc w:val="left"/>
        <w:rPr>
          <w:rFonts w:hint="eastAsia" w:ascii="宋体" w:hAnsi="宋体"/>
          <w:color w:val="auto"/>
          <w:sz w:val="24"/>
          <w:szCs w:val="24"/>
          <w:highlight w:val="none"/>
          <w:u w:val="single"/>
        </w:rPr>
      </w:pPr>
      <w:r>
        <w:rPr>
          <w:rFonts w:hint="eastAsia" w:ascii="宋体" w:hAnsi="宋体" w:cs="宋体"/>
          <w:color w:val="auto"/>
          <w:sz w:val="24"/>
          <w:szCs w:val="24"/>
          <w:highlight w:val="none"/>
        </w:rPr>
        <w:t xml:space="preserve"> </w:t>
      </w:r>
      <w:bookmarkEnd w:id="13"/>
      <w:bookmarkEnd w:id="14"/>
      <w:bookmarkEnd w:id="15"/>
      <w:bookmarkEnd w:id="16"/>
      <w:bookmarkEnd w:id="17"/>
      <w:bookmarkEnd w:id="18"/>
    </w:p>
    <w:p w14:paraId="64C98474">
      <w:pPr>
        <w:widowControl/>
        <w:spacing w:line="440" w:lineRule="exact"/>
        <w:jc w:val="center"/>
        <w:outlineLvl w:val="0"/>
        <w:rPr>
          <w:rFonts w:ascii="宋体" w:hAnsi="宋体" w:cs="宋体"/>
          <w:b/>
          <w:bCs/>
          <w:color w:val="auto"/>
          <w:kern w:val="0"/>
          <w:sz w:val="28"/>
          <w:szCs w:val="28"/>
          <w:highlight w:val="none"/>
        </w:rPr>
      </w:pPr>
      <w:r>
        <w:rPr>
          <w:color w:val="auto"/>
          <w:highlight w:val="none"/>
        </w:rPr>
        <w:br w:type="page"/>
      </w:r>
      <w:bookmarkStart w:id="62" w:name="_Toc16384"/>
      <w:bookmarkStart w:id="63" w:name="_Toc19857"/>
      <w:bookmarkStart w:id="64" w:name="_Toc29184"/>
      <w:r>
        <w:rPr>
          <w:rStyle w:val="57"/>
          <w:rFonts w:hint="eastAsia"/>
          <w:color w:val="auto"/>
          <w:highlight w:val="none"/>
        </w:rPr>
        <w:t xml:space="preserve">第二章 </w:t>
      </w:r>
      <w:bookmarkEnd w:id="5"/>
      <w:r>
        <w:rPr>
          <w:rStyle w:val="57"/>
          <w:rFonts w:hint="eastAsia"/>
          <w:color w:val="auto"/>
          <w:highlight w:val="none"/>
        </w:rPr>
        <w:t>供应商须知</w:t>
      </w:r>
      <w:bookmarkEnd w:id="62"/>
      <w:bookmarkEnd w:id="63"/>
      <w:bookmarkEnd w:id="64"/>
    </w:p>
    <w:p w14:paraId="578EF7FB">
      <w:pPr>
        <w:spacing w:line="440" w:lineRule="exact"/>
        <w:outlineLvl w:val="1"/>
        <w:rPr>
          <w:rFonts w:ascii="宋体" w:hAnsi="宋体"/>
          <w:b/>
          <w:bCs/>
          <w:snapToGrid w:val="0"/>
          <w:color w:val="auto"/>
          <w:sz w:val="24"/>
          <w:szCs w:val="24"/>
          <w:highlight w:val="none"/>
        </w:rPr>
      </w:pPr>
      <w:bookmarkStart w:id="65" w:name="_Toc91764927"/>
      <w:bookmarkStart w:id="66" w:name="_Toc22368"/>
      <w:bookmarkStart w:id="67" w:name="_Toc18317"/>
      <w:bookmarkStart w:id="68" w:name="_Toc69910984"/>
      <w:bookmarkStart w:id="69" w:name="_Toc13711"/>
      <w:bookmarkStart w:id="70" w:name="_Toc30268"/>
      <w:bookmarkStart w:id="71" w:name="_Toc30283832"/>
      <w:bookmarkStart w:id="72" w:name="_Toc27807"/>
      <w:bookmarkStart w:id="73" w:name="_Toc152045528"/>
      <w:bookmarkStart w:id="74" w:name="_Toc229646710"/>
      <w:bookmarkStart w:id="75" w:name="_Toc353400021"/>
      <w:bookmarkStart w:id="76" w:name="_Toc144974496"/>
      <w:bookmarkStart w:id="77" w:name="_Toc152042304"/>
      <w:r>
        <w:rPr>
          <w:rFonts w:hint="eastAsia" w:ascii="宋体" w:hAnsi="宋体"/>
          <w:b/>
          <w:bCs/>
          <w:snapToGrid w:val="0"/>
          <w:color w:val="auto"/>
          <w:sz w:val="24"/>
          <w:szCs w:val="24"/>
          <w:highlight w:val="none"/>
        </w:rPr>
        <w:t>1.总则</w:t>
      </w:r>
      <w:bookmarkEnd w:id="65"/>
      <w:bookmarkEnd w:id="66"/>
      <w:bookmarkEnd w:id="67"/>
      <w:bookmarkEnd w:id="68"/>
      <w:bookmarkEnd w:id="69"/>
      <w:bookmarkEnd w:id="70"/>
      <w:bookmarkEnd w:id="71"/>
      <w:bookmarkEnd w:id="72"/>
    </w:p>
    <w:p w14:paraId="17A6C82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bookmarkStart w:id="78" w:name="_Toc11854421"/>
      <w:bookmarkStart w:id="79" w:name="_Toc511809279"/>
      <w:r>
        <w:rPr>
          <w:rFonts w:hint="eastAsia" w:ascii="宋体" w:hAnsi="宋体"/>
          <w:snapToGrid w:val="0"/>
          <w:color w:val="auto"/>
          <w:sz w:val="24"/>
          <w:szCs w:val="24"/>
          <w:highlight w:val="none"/>
        </w:rPr>
        <w:t>1.1采购人：本项目采购人包括采购单位及采购组织单位，</w:t>
      </w:r>
      <w:r>
        <w:rPr>
          <w:rFonts w:ascii="宋体" w:hAnsi="宋体"/>
          <w:color w:val="auto"/>
          <w:sz w:val="24"/>
          <w:szCs w:val="24"/>
          <w:highlight w:val="none"/>
        </w:rPr>
        <w:t>由</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采购单位</w:t>
      </w:r>
      <w:r>
        <w:rPr>
          <w:rFonts w:ascii="宋体" w:hAnsi="宋体"/>
          <w:color w:val="auto"/>
          <w:sz w:val="24"/>
          <w:szCs w:val="24"/>
          <w:highlight w:val="none"/>
          <w:u w:val="single"/>
        </w:rPr>
        <w:t xml:space="preserve"> </w:t>
      </w:r>
      <w:r>
        <w:rPr>
          <w:rFonts w:ascii="宋体" w:hAnsi="宋体"/>
          <w:color w:val="auto"/>
          <w:sz w:val="24"/>
          <w:szCs w:val="24"/>
          <w:highlight w:val="none"/>
        </w:rPr>
        <w:t>与成交单位签订合同。</w:t>
      </w:r>
    </w:p>
    <w:p w14:paraId="61968D6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1.2项目概况：详见第一章《采购概况》。</w:t>
      </w:r>
    </w:p>
    <w:bookmarkEnd w:id="78"/>
    <w:bookmarkEnd w:id="79"/>
    <w:p w14:paraId="6E668749">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rPr>
      </w:pPr>
      <w:bookmarkStart w:id="80" w:name="_Toc11854422"/>
      <w:bookmarkStart w:id="81" w:name="_Toc511809280"/>
      <w:r>
        <w:rPr>
          <w:rFonts w:hint="eastAsia" w:ascii="宋体" w:hAnsi="宋体"/>
          <w:snapToGrid w:val="0"/>
          <w:color w:val="auto"/>
          <w:sz w:val="24"/>
          <w:szCs w:val="24"/>
          <w:highlight w:val="none"/>
        </w:rPr>
        <w:t>1.3权利和义务</w:t>
      </w:r>
      <w:bookmarkEnd w:id="80"/>
      <w:bookmarkEnd w:id="81"/>
      <w:r>
        <w:rPr>
          <w:rFonts w:hint="eastAsia" w:ascii="宋体" w:hAnsi="宋体"/>
          <w:snapToGrid w:val="0"/>
          <w:color w:val="auto"/>
          <w:sz w:val="24"/>
          <w:szCs w:val="24"/>
          <w:highlight w:val="none"/>
        </w:rPr>
        <w:t>：详见第四章。</w:t>
      </w:r>
    </w:p>
    <w:p w14:paraId="4A0EC43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1.4费用承担：供应商准备和参加采购活动发生的费用自理。</w:t>
      </w:r>
    </w:p>
    <w:p w14:paraId="5257226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1.5保密：参与采购活动的各方应对采购文件和响应文件中的技术与商务等秘密保密，违者应对由此造成的后果承担法律责任。</w:t>
      </w:r>
    </w:p>
    <w:p w14:paraId="6B2302A4">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1.6语言文字：除专用术语外，与采购活动有关的语言均使用中文。必要时专用术语应附有中文注释。</w:t>
      </w:r>
    </w:p>
    <w:p w14:paraId="6970CAB5">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none"/>
          <w:lang w:val="en-US" w:eastAsia="zh-CN"/>
        </w:rPr>
      </w:pPr>
      <w:r>
        <w:rPr>
          <w:rFonts w:hint="eastAsia" w:ascii="宋体" w:hAnsi="宋体"/>
          <w:snapToGrid w:val="0"/>
          <w:color w:val="auto"/>
          <w:sz w:val="24"/>
          <w:szCs w:val="24"/>
          <w:highlight w:val="none"/>
        </w:rPr>
        <w:t>1.7踏勘现场：</w:t>
      </w:r>
      <w:r>
        <w:rPr>
          <w:rFonts w:hint="eastAsia" w:ascii="宋体" w:hAnsi="宋体"/>
          <w:snapToGrid w:val="0"/>
          <w:color w:val="auto"/>
          <w:sz w:val="24"/>
          <w:szCs w:val="24"/>
          <w:highlight w:val="none"/>
          <w:lang w:val="en-US" w:eastAsia="zh-CN"/>
        </w:rPr>
        <w:t>☑组织踏勘，时间</w:t>
      </w:r>
      <w:r>
        <w:rPr>
          <w:rFonts w:hint="eastAsia" w:ascii="宋体" w:hAnsi="宋体"/>
          <w:snapToGrid w:val="0"/>
          <w:color w:val="auto"/>
          <w:sz w:val="24"/>
          <w:szCs w:val="24"/>
          <w:highlight w:val="none"/>
          <w:u w:val="single"/>
          <w:lang w:val="en-US" w:eastAsia="zh-CN"/>
        </w:rPr>
        <w:t xml:space="preserve"> 2026年8月17日14:00</w:t>
      </w:r>
      <w:r>
        <w:rPr>
          <w:rFonts w:hint="eastAsia" w:ascii="宋体" w:hAnsi="宋体"/>
          <w:snapToGrid w:val="0"/>
          <w:color w:val="auto"/>
          <w:sz w:val="24"/>
          <w:szCs w:val="24"/>
          <w:highlight w:val="none"/>
          <w:lang w:val="en-US" w:eastAsia="zh-CN"/>
        </w:rPr>
        <w:t xml:space="preserve"> ，地点：</w:t>
      </w:r>
      <w:r>
        <w:rPr>
          <w:rFonts w:hint="eastAsia" w:ascii="宋体" w:hAnsi="宋体"/>
          <w:snapToGrid w:val="0"/>
          <w:color w:val="auto"/>
          <w:sz w:val="24"/>
          <w:szCs w:val="24"/>
          <w:highlight w:val="none"/>
          <w:u w:val="single"/>
          <w:lang w:val="en-US" w:eastAsia="zh-CN"/>
        </w:rPr>
        <w:t>浙江省青田县巨浦乡</w:t>
      </w:r>
      <w:r>
        <w:rPr>
          <w:rFonts w:hint="eastAsia" w:ascii="宋体" w:hAnsi="宋体"/>
          <w:snapToGrid w:val="0"/>
          <w:color w:val="auto"/>
          <w:sz w:val="24"/>
          <w:szCs w:val="24"/>
          <w:highlight w:val="none"/>
          <w:lang w:val="en-US" w:eastAsia="zh-CN"/>
        </w:rPr>
        <w:t>，联系人：</w:t>
      </w:r>
      <w:r>
        <w:rPr>
          <w:rFonts w:hint="eastAsia" w:ascii="宋体" w:hAnsi="宋体"/>
          <w:snapToGrid w:val="0"/>
          <w:color w:val="auto"/>
          <w:sz w:val="24"/>
          <w:szCs w:val="24"/>
          <w:highlight w:val="none"/>
          <w:u w:val="single"/>
          <w:lang w:val="en-US" w:eastAsia="zh-CN"/>
        </w:rPr>
        <w:t xml:space="preserve">贾先生 </w:t>
      </w:r>
      <w:r>
        <w:rPr>
          <w:rFonts w:hint="eastAsia" w:ascii="宋体" w:hAnsi="宋体"/>
          <w:snapToGrid w:val="0"/>
          <w:color w:val="auto"/>
          <w:sz w:val="24"/>
          <w:szCs w:val="24"/>
          <w:highlight w:val="none"/>
          <w:lang w:val="en-US" w:eastAsia="zh-CN"/>
        </w:rPr>
        <w:t xml:space="preserve"> ，联系电话：</w:t>
      </w:r>
      <w:r>
        <w:rPr>
          <w:rFonts w:hint="eastAsia" w:ascii="宋体" w:hAnsi="宋体"/>
          <w:snapToGrid w:val="0"/>
          <w:color w:val="auto"/>
          <w:sz w:val="24"/>
          <w:szCs w:val="24"/>
          <w:highlight w:val="none"/>
          <w:u w:val="single"/>
          <w:lang w:val="en-US" w:eastAsia="zh-CN"/>
        </w:rPr>
        <w:t xml:space="preserve">18587360870 </w:t>
      </w:r>
      <w:r>
        <w:rPr>
          <w:rFonts w:hint="eastAsia" w:ascii="宋体" w:hAnsi="宋体"/>
          <w:snapToGrid w:val="0"/>
          <w:color w:val="auto"/>
          <w:sz w:val="24"/>
          <w:szCs w:val="24"/>
          <w:highlight w:val="none"/>
          <w:lang w:val="en-US" w:eastAsia="zh-CN"/>
        </w:rPr>
        <w:t>。供应商踏勘现场发生的费用自理。供应商可自愿参加踏勘现场活动。除采购人的原因外，采购人对供应商参加踏勘现场中所发生的人员伤亡和财产损失不承担责任。采购人在踏勘现场中介绍的工程场地和相关的周边环境情况，仅作为供应商编制响应文件的参考，采购人不对供应商据此作出的判断和决策负责。</w:t>
      </w:r>
    </w:p>
    <w:p w14:paraId="2F72C4BE">
      <w:pPr>
        <w:spacing w:line="440" w:lineRule="exact"/>
        <w:outlineLvl w:val="1"/>
        <w:rPr>
          <w:rFonts w:ascii="宋体" w:hAnsi="宋体"/>
          <w:b/>
          <w:bCs/>
          <w:snapToGrid w:val="0"/>
          <w:color w:val="auto"/>
          <w:sz w:val="24"/>
          <w:szCs w:val="24"/>
          <w:highlight w:val="none"/>
        </w:rPr>
      </w:pPr>
      <w:bookmarkStart w:id="82" w:name="_Toc30612"/>
      <w:bookmarkStart w:id="83" w:name="_Toc23594"/>
      <w:bookmarkStart w:id="84" w:name="_Toc69910985"/>
      <w:bookmarkStart w:id="85" w:name="_Toc32344"/>
      <w:bookmarkStart w:id="86" w:name="_Toc91764928"/>
      <w:bookmarkStart w:id="87" w:name="_Toc30283833"/>
      <w:bookmarkStart w:id="88" w:name="_Toc25843"/>
      <w:bookmarkStart w:id="89" w:name="_Toc10479"/>
      <w:r>
        <w:rPr>
          <w:rFonts w:hint="eastAsia" w:ascii="宋体" w:hAnsi="宋体"/>
          <w:b/>
          <w:bCs/>
          <w:snapToGrid w:val="0"/>
          <w:color w:val="auto"/>
          <w:sz w:val="24"/>
          <w:szCs w:val="24"/>
          <w:highlight w:val="none"/>
        </w:rPr>
        <w:t>2.采购文件</w:t>
      </w:r>
      <w:bookmarkEnd w:id="82"/>
      <w:bookmarkEnd w:id="83"/>
      <w:bookmarkEnd w:id="84"/>
      <w:bookmarkEnd w:id="85"/>
      <w:bookmarkEnd w:id="86"/>
      <w:bookmarkEnd w:id="87"/>
      <w:bookmarkEnd w:id="88"/>
      <w:bookmarkEnd w:id="89"/>
    </w:p>
    <w:p w14:paraId="49044D4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2.1采购文件的组成</w:t>
      </w:r>
    </w:p>
    <w:p w14:paraId="79453C0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本采购文件由采购概况、供应商须知、评审办法、合同主要条款及格式、服务内容和要求、响应文件格式组成。</w:t>
      </w:r>
    </w:p>
    <w:p w14:paraId="6E9EA7E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highlight w:val="none"/>
        </w:rPr>
      </w:pPr>
      <w:r>
        <w:rPr>
          <w:rFonts w:hint="eastAsia" w:ascii="宋体" w:hAnsi="宋体"/>
          <w:snapToGrid w:val="0"/>
          <w:color w:val="auto"/>
          <w:sz w:val="24"/>
          <w:szCs w:val="24"/>
          <w:highlight w:val="none"/>
        </w:rPr>
        <w:t>2.2采购文件澄清与修改</w:t>
      </w:r>
    </w:p>
    <w:p w14:paraId="406D0684">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8</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 xml:space="preserve"> 17</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3D0157A1">
      <w:pPr>
        <w:spacing w:line="440" w:lineRule="exact"/>
        <w:outlineLvl w:val="1"/>
        <w:rPr>
          <w:rFonts w:ascii="宋体" w:hAnsi="宋体"/>
          <w:b/>
          <w:bCs/>
          <w:snapToGrid w:val="0"/>
          <w:color w:val="auto"/>
          <w:sz w:val="24"/>
          <w:szCs w:val="24"/>
          <w:highlight w:val="none"/>
        </w:rPr>
      </w:pPr>
      <w:bookmarkStart w:id="90" w:name="_Toc14251"/>
      <w:bookmarkStart w:id="91" w:name="_Toc30283834"/>
      <w:bookmarkStart w:id="92" w:name="_Toc11946"/>
      <w:bookmarkStart w:id="93" w:name="_Toc4251"/>
      <w:bookmarkStart w:id="94" w:name="_Toc3735"/>
      <w:bookmarkStart w:id="95" w:name="_Toc91764929"/>
      <w:bookmarkStart w:id="96" w:name="_Toc29632"/>
      <w:bookmarkStart w:id="97" w:name="_Toc69910986"/>
      <w:r>
        <w:rPr>
          <w:rFonts w:hint="eastAsia" w:ascii="宋体" w:hAnsi="宋体"/>
          <w:b/>
          <w:bCs/>
          <w:snapToGrid w:val="0"/>
          <w:color w:val="auto"/>
          <w:sz w:val="24"/>
          <w:szCs w:val="24"/>
          <w:highlight w:val="none"/>
        </w:rPr>
        <w:t>3.响应文件</w:t>
      </w:r>
      <w:bookmarkEnd w:id="90"/>
      <w:bookmarkEnd w:id="91"/>
      <w:bookmarkEnd w:id="92"/>
      <w:bookmarkEnd w:id="93"/>
      <w:bookmarkEnd w:id="94"/>
      <w:bookmarkEnd w:id="95"/>
      <w:bookmarkEnd w:id="96"/>
      <w:bookmarkEnd w:id="97"/>
    </w:p>
    <w:p w14:paraId="34395BD2">
      <w:pPr>
        <w:tabs>
          <w:tab w:val="left" w:pos="0"/>
          <w:tab w:val="left" w:pos="1995"/>
        </w:tabs>
        <w:adjustRightInd w:val="0"/>
        <w:snapToGrid w:val="0"/>
        <w:spacing w:line="440" w:lineRule="exact"/>
        <w:ind w:right="-10" w:rightChars="-5" w:firstLine="480" w:firstLineChars="200"/>
        <w:rPr>
          <w:rFonts w:ascii="宋体" w:hAnsi="宋体"/>
          <w:snapToGrid w:val="0"/>
          <w:sz w:val="24"/>
          <w:szCs w:val="24"/>
        </w:rPr>
      </w:pPr>
      <w:bookmarkStart w:id="98" w:name="_Toc11854426"/>
      <w:r>
        <w:rPr>
          <w:rFonts w:hint="eastAsia" w:ascii="宋体" w:hAnsi="宋体"/>
          <w:snapToGrid w:val="0"/>
          <w:sz w:val="24"/>
          <w:szCs w:val="24"/>
        </w:rPr>
        <w:t>3.1响应文件的组成</w:t>
      </w:r>
    </w:p>
    <w:p w14:paraId="2993CA0D">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（1）法定代表人身份证明（格式2），授权委托书（格式3），响应人基本情况表（格式4）、</w:t>
      </w:r>
      <w:r>
        <w:rPr>
          <w:rFonts w:hint="eastAsia" w:ascii="宋体" w:hAnsi="宋体"/>
          <w:sz w:val="24"/>
          <w:szCs w:val="24"/>
          <w:lang w:val="en-US" w:eastAsia="zh-CN"/>
        </w:rPr>
        <w:t>供应商类似业绩（格式5）、供货方案</w:t>
      </w:r>
      <w:r>
        <w:rPr>
          <w:rFonts w:hint="eastAsia" w:ascii="宋体" w:hAnsi="宋体"/>
          <w:sz w:val="24"/>
          <w:szCs w:val="24"/>
        </w:rPr>
        <w:t>（格式</w:t>
      </w:r>
      <w:r>
        <w:rPr>
          <w:rFonts w:hint="eastAsia" w:ascii="宋体" w:hAnsi="宋体"/>
          <w:sz w:val="24"/>
          <w:szCs w:val="24"/>
          <w:lang w:val="en-US" w:eastAsia="zh-CN"/>
        </w:rPr>
        <w:t>6</w:t>
      </w:r>
      <w:r>
        <w:rPr>
          <w:rFonts w:hint="eastAsia" w:ascii="宋体" w:hAnsi="宋体"/>
          <w:sz w:val="24"/>
          <w:szCs w:val="24"/>
        </w:rPr>
        <w:t>）；</w:t>
      </w:r>
    </w:p>
    <w:p w14:paraId="18C88C2E">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（2）承诺函（格式7）；</w:t>
      </w:r>
    </w:p>
    <w:p w14:paraId="37D5CC0F">
      <w:pPr>
        <w:tabs>
          <w:tab w:val="left" w:pos="0"/>
          <w:tab w:val="left" w:pos="1995"/>
        </w:tabs>
        <w:adjustRightInd w:val="0"/>
        <w:snapToGrid w:val="0"/>
        <w:spacing w:line="440" w:lineRule="exact"/>
        <w:ind w:right="-10" w:rightChars="-5" w:firstLine="480" w:firstLineChars="200"/>
        <w:rPr>
          <w:rFonts w:hint="eastAsia" w:ascii="宋体" w:hAnsi="宋体"/>
          <w:sz w:val="24"/>
          <w:szCs w:val="24"/>
        </w:rPr>
      </w:pPr>
      <w:r>
        <w:rPr>
          <w:rFonts w:hint="eastAsia" w:ascii="宋体" w:hAnsi="宋体"/>
          <w:sz w:val="24"/>
          <w:szCs w:val="24"/>
        </w:rPr>
        <w:t>（3）报价表（格式8）；</w:t>
      </w:r>
    </w:p>
    <w:p w14:paraId="7074B22C">
      <w:pPr>
        <w:tabs>
          <w:tab w:val="left" w:pos="0"/>
          <w:tab w:val="left" w:pos="1995"/>
        </w:tabs>
        <w:adjustRightInd w:val="0"/>
        <w:snapToGrid w:val="0"/>
        <w:spacing w:line="440" w:lineRule="exact"/>
        <w:ind w:right="-10" w:rightChars="-5" w:firstLine="480" w:firstLineChars="200"/>
      </w:pPr>
      <w:r>
        <w:rPr>
          <w:rFonts w:hint="eastAsia" w:ascii="宋体" w:hAnsi="宋体"/>
          <w:snapToGrid w:val="0"/>
          <w:sz w:val="24"/>
          <w:szCs w:val="24"/>
        </w:rPr>
        <w:t>3.2 响应文件的要求</w:t>
      </w:r>
    </w:p>
    <w:p w14:paraId="66505D9A">
      <w:pPr>
        <w:tabs>
          <w:tab w:val="left" w:pos="0"/>
          <w:tab w:val="left" w:pos="1995"/>
        </w:tabs>
        <w:adjustRightInd w:val="0"/>
        <w:snapToGrid w:val="0"/>
        <w:spacing w:line="440" w:lineRule="exact"/>
        <w:ind w:right="-10" w:rightChars="-5" w:firstLine="480" w:firstLineChars="200"/>
        <w:rPr>
          <w:rFonts w:ascii="宋体" w:hAnsi="宋体"/>
          <w:snapToGrid w:val="0"/>
          <w:sz w:val="24"/>
          <w:szCs w:val="24"/>
        </w:rPr>
      </w:pPr>
      <w:r>
        <w:rPr>
          <w:rFonts w:hint="eastAsia" w:ascii="宋体" w:hAnsi="宋体"/>
          <w:snapToGrid w:val="0"/>
          <w:sz w:val="24"/>
          <w:szCs w:val="24"/>
        </w:rPr>
        <w:t>3.2.1响应内容</w:t>
      </w:r>
    </w:p>
    <w:p w14:paraId="64182223">
      <w:pPr>
        <w:tabs>
          <w:tab w:val="left" w:pos="0"/>
          <w:tab w:val="left" w:pos="1995"/>
        </w:tabs>
        <w:adjustRightInd w:val="0"/>
        <w:snapToGrid w:val="0"/>
        <w:spacing w:line="440" w:lineRule="exact"/>
        <w:ind w:right="-10" w:rightChars="-5" w:firstLine="360" w:firstLineChars="150"/>
        <w:rPr>
          <w:rFonts w:ascii="宋体" w:hAnsi="宋体"/>
          <w:snapToGrid w:val="0"/>
          <w:sz w:val="24"/>
          <w:szCs w:val="24"/>
        </w:rPr>
      </w:pPr>
      <w:r>
        <w:rPr>
          <w:rFonts w:hint="eastAsia" w:ascii="宋体" w:hAnsi="宋体"/>
          <w:snapToGrid w:val="0"/>
          <w:sz w:val="24"/>
          <w:szCs w:val="24"/>
        </w:rPr>
        <w:t>（1）服务内容和要求：详见第五章；</w:t>
      </w:r>
    </w:p>
    <w:p w14:paraId="33B554B7">
      <w:pPr>
        <w:tabs>
          <w:tab w:val="left" w:pos="0"/>
          <w:tab w:val="left" w:pos="1995"/>
        </w:tabs>
        <w:adjustRightInd w:val="0"/>
        <w:snapToGrid w:val="0"/>
        <w:spacing w:line="440" w:lineRule="exact"/>
        <w:ind w:right="-10" w:rightChars="-5" w:firstLine="360" w:firstLineChars="150"/>
        <w:rPr>
          <w:rFonts w:ascii="宋体" w:hAnsi="宋体"/>
          <w:snapToGrid w:val="0"/>
          <w:sz w:val="24"/>
          <w:szCs w:val="24"/>
        </w:rPr>
      </w:pPr>
      <w:r>
        <w:rPr>
          <w:rFonts w:hint="eastAsia" w:ascii="宋体" w:hAnsi="宋体"/>
          <w:snapToGrid w:val="0"/>
          <w:sz w:val="24"/>
          <w:szCs w:val="24"/>
        </w:rPr>
        <w:t>（2）权利义务：详见第四章；</w:t>
      </w:r>
    </w:p>
    <w:p w14:paraId="1CD3ABAF">
      <w:pPr>
        <w:tabs>
          <w:tab w:val="left" w:pos="0"/>
          <w:tab w:val="left" w:pos="1995"/>
        </w:tabs>
        <w:adjustRightInd w:val="0"/>
        <w:snapToGrid w:val="0"/>
        <w:spacing w:line="440" w:lineRule="exact"/>
        <w:ind w:right="-10" w:rightChars="-5" w:firstLine="360" w:firstLineChars="150"/>
        <w:rPr>
          <w:rFonts w:hint="eastAsia" w:ascii="宋体" w:hAnsi="宋体"/>
          <w:snapToGrid w:val="0"/>
          <w:sz w:val="24"/>
          <w:szCs w:val="24"/>
        </w:rPr>
      </w:pPr>
      <w:r>
        <w:rPr>
          <w:rFonts w:hint="eastAsia" w:ascii="宋体" w:hAnsi="宋体"/>
          <w:snapToGrid w:val="0"/>
          <w:sz w:val="24"/>
          <w:szCs w:val="24"/>
        </w:rPr>
        <w:t>（3）响应文件应包含报价表等内容。</w:t>
      </w:r>
    </w:p>
    <w:p w14:paraId="2CDBBC32">
      <w:pPr>
        <w:tabs>
          <w:tab w:val="left" w:pos="0"/>
          <w:tab w:val="left" w:pos="1995"/>
        </w:tabs>
        <w:adjustRightInd w:val="0"/>
        <w:snapToGrid w:val="0"/>
        <w:spacing w:line="440" w:lineRule="exact"/>
        <w:ind w:right="-10" w:rightChars="-5" w:firstLine="480" w:firstLineChars="200"/>
        <w:rPr>
          <w:rFonts w:ascii="宋体" w:hAnsi="宋体"/>
          <w:snapToGrid w:val="0"/>
          <w:szCs w:val="24"/>
        </w:rPr>
      </w:pPr>
      <w:r>
        <w:rPr>
          <w:rFonts w:hint="eastAsia" w:ascii="宋体" w:hAnsi="宋体"/>
          <w:snapToGrid w:val="0"/>
          <w:sz w:val="24"/>
          <w:szCs w:val="24"/>
        </w:rPr>
        <w:t>3.2.</w:t>
      </w:r>
      <w:r>
        <w:rPr>
          <w:rFonts w:hint="eastAsia" w:ascii="宋体" w:hAnsi="宋体"/>
          <w:snapToGrid w:val="0"/>
          <w:sz w:val="24"/>
          <w:szCs w:val="24"/>
          <w:lang w:val="en-US" w:eastAsia="zh-CN"/>
        </w:rPr>
        <w:t>2</w:t>
      </w:r>
      <w:r>
        <w:rPr>
          <w:rFonts w:hint="eastAsia" w:ascii="宋体" w:hAnsi="宋体"/>
          <w:snapToGrid w:val="0"/>
          <w:sz w:val="24"/>
          <w:szCs w:val="24"/>
        </w:rPr>
        <w:t>其它要求</w:t>
      </w:r>
    </w:p>
    <w:p w14:paraId="19BFECDA">
      <w:pPr>
        <w:spacing w:line="440" w:lineRule="exact"/>
        <w:ind w:firstLine="240" w:firstLineChars="100"/>
        <w:outlineLvl w:val="1"/>
        <w:rPr>
          <w:rFonts w:hint="eastAsia" w:ascii="宋体" w:hAnsi="宋体"/>
          <w:sz w:val="24"/>
        </w:rPr>
      </w:pPr>
      <w:bookmarkStart w:id="99" w:name="_Toc27655"/>
      <w:bookmarkStart w:id="100" w:name="_Toc5969"/>
      <w:r>
        <w:rPr>
          <w:rFonts w:hint="eastAsia" w:ascii="宋体" w:hAnsi="宋体"/>
          <w:sz w:val="24"/>
        </w:rPr>
        <w:t>（1）响应文件区分正副本。</w:t>
      </w:r>
      <w:bookmarkEnd w:id="99"/>
      <w:bookmarkEnd w:id="100"/>
    </w:p>
    <w:p w14:paraId="7C6C4947">
      <w:pPr>
        <w:spacing w:line="440" w:lineRule="exact"/>
        <w:ind w:firstLine="240" w:firstLineChars="100"/>
        <w:outlineLvl w:val="1"/>
        <w:rPr>
          <w:rFonts w:hint="eastAsia" w:ascii="宋体" w:hAnsi="宋体"/>
          <w:sz w:val="24"/>
        </w:rPr>
      </w:pPr>
      <w:bookmarkStart w:id="101" w:name="_Toc30510"/>
      <w:bookmarkStart w:id="102" w:name="_Toc15199"/>
      <w:r>
        <w:rPr>
          <w:rFonts w:hint="eastAsia" w:ascii="宋体" w:hAnsi="宋体"/>
          <w:sz w:val="24"/>
        </w:rPr>
        <w:t>（2）响应文件应使用不褪色的材料书写或打印，必须按规定加盖供应商法人单位公章，并由法定代表人或其授权代表签字。</w:t>
      </w:r>
      <w:bookmarkEnd w:id="101"/>
      <w:bookmarkEnd w:id="102"/>
    </w:p>
    <w:p w14:paraId="64E99D43">
      <w:pPr>
        <w:spacing w:line="440" w:lineRule="exact"/>
        <w:ind w:firstLine="240" w:firstLineChars="100"/>
        <w:outlineLvl w:val="1"/>
        <w:rPr>
          <w:rFonts w:hint="eastAsia" w:ascii="宋体" w:hAnsi="宋体"/>
          <w:sz w:val="24"/>
        </w:rPr>
      </w:pPr>
      <w:bookmarkStart w:id="103" w:name="_Toc13862"/>
      <w:bookmarkStart w:id="104" w:name="_Toc25265"/>
      <w:r>
        <w:rPr>
          <w:rFonts w:hint="eastAsia" w:ascii="宋体" w:hAnsi="宋体"/>
          <w:sz w:val="24"/>
        </w:rPr>
        <w:t>（3）全套响应文件应无涂改和行间插字。如有修改，所修改处应由法定代表人或授权代表人签字予以确认。</w:t>
      </w:r>
      <w:bookmarkEnd w:id="103"/>
      <w:bookmarkEnd w:id="104"/>
    </w:p>
    <w:p w14:paraId="5609C9FE">
      <w:pPr>
        <w:spacing w:line="440" w:lineRule="exact"/>
        <w:ind w:firstLine="240" w:firstLineChars="100"/>
        <w:outlineLvl w:val="1"/>
        <w:rPr>
          <w:rFonts w:hint="eastAsia" w:ascii="宋体" w:hAnsi="宋体"/>
          <w:sz w:val="24"/>
        </w:rPr>
      </w:pPr>
      <w:bookmarkStart w:id="105" w:name="_Toc18012"/>
      <w:bookmarkStart w:id="106" w:name="_Toc14212"/>
      <w:r>
        <w:rPr>
          <w:rFonts w:hint="eastAsia" w:ascii="宋体" w:hAnsi="宋体"/>
          <w:sz w:val="24"/>
        </w:rPr>
        <w:t>（4）响应文件份数：纸质</w:t>
      </w:r>
      <w:r>
        <w:rPr>
          <w:rFonts w:hint="eastAsia" w:ascii="宋体" w:hAnsi="宋体"/>
          <w:sz w:val="24"/>
          <w:lang w:val="en-US" w:eastAsia="zh-CN"/>
        </w:rPr>
        <w:t>叁</w:t>
      </w:r>
      <w:r>
        <w:rPr>
          <w:rFonts w:hint="eastAsia" w:ascii="宋体" w:hAnsi="宋体"/>
          <w:sz w:val="24"/>
        </w:rPr>
        <w:t>份，正本壹份，副本</w:t>
      </w:r>
      <w:r>
        <w:rPr>
          <w:rFonts w:hint="eastAsia" w:ascii="宋体" w:hAnsi="宋体"/>
          <w:sz w:val="24"/>
          <w:lang w:val="en-US" w:eastAsia="zh-CN"/>
        </w:rPr>
        <w:t>贰</w:t>
      </w:r>
      <w:r>
        <w:rPr>
          <w:rFonts w:hint="eastAsia" w:ascii="宋体" w:hAnsi="宋体"/>
          <w:sz w:val="24"/>
        </w:rPr>
        <w:t>份。</w:t>
      </w:r>
      <w:bookmarkEnd w:id="105"/>
      <w:bookmarkEnd w:id="106"/>
    </w:p>
    <w:p w14:paraId="6281CED4">
      <w:pPr>
        <w:spacing w:line="440" w:lineRule="exact"/>
        <w:ind w:firstLine="240" w:firstLineChars="100"/>
        <w:outlineLvl w:val="1"/>
        <w:rPr>
          <w:rFonts w:hint="eastAsia" w:ascii="宋体" w:hAnsi="宋体"/>
          <w:sz w:val="24"/>
        </w:rPr>
      </w:pPr>
      <w:bookmarkStart w:id="107" w:name="_Toc362"/>
      <w:bookmarkStart w:id="108" w:name="_Toc10951"/>
      <w:r>
        <w:rPr>
          <w:rFonts w:hint="eastAsia" w:ascii="宋体" w:hAnsi="宋体"/>
          <w:sz w:val="24"/>
        </w:rPr>
        <w:t>（5）装订要求：装订成册，并逐页编码。</w:t>
      </w:r>
      <w:bookmarkEnd w:id="107"/>
      <w:bookmarkEnd w:id="108"/>
      <w:bookmarkStart w:id="109" w:name="_Toc511809281"/>
      <w:bookmarkStart w:id="110" w:name="_Toc11854423"/>
    </w:p>
    <w:p w14:paraId="47E11EC0">
      <w:pPr>
        <w:spacing w:line="440" w:lineRule="exact"/>
        <w:ind w:firstLine="480" w:firstLineChars="200"/>
        <w:outlineLvl w:val="1"/>
        <w:rPr>
          <w:rFonts w:hint="eastAsia" w:ascii="宋体" w:hAnsi="宋体"/>
          <w:sz w:val="24"/>
        </w:rPr>
      </w:pPr>
      <w:r>
        <w:rPr>
          <w:rFonts w:hint="eastAsia" w:ascii="宋体" w:hAnsi="宋体"/>
          <w:sz w:val="24"/>
        </w:rPr>
        <w:t>3.3响应文件有效期：30天，在响应文件递交截止时间后起算。</w:t>
      </w:r>
      <w:bookmarkEnd w:id="109"/>
      <w:bookmarkEnd w:id="110"/>
    </w:p>
    <w:p w14:paraId="76EABC75">
      <w:pPr>
        <w:spacing w:line="440" w:lineRule="exact"/>
        <w:ind w:firstLine="480" w:firstLineChars="200"/>
        <w:outlineLvl w:val="1"/>
        <w:rPr>
          <w:rFonts w:hint="eastAsia" w:ascii="宋体" w:hAnsi="宋体"/>
          <w:sz w:val="24"/>
        </w:rPr>
      </w:pPr>
      <w:r>
        <w:rPr>
          <w:rFonts w:hint="eastAsia" w:ascii="宋体" w:hAnsi="宋体"/>
          <w:sz w:val="24"/>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p>
    <w:bookmarkEnd w:id="98"/>
    <w:p w14:paraId="5721BF9D">
      <w:pPr>
        <w:spacing w:line="440" w:lineRule="exact"/>
        <w:outlineLvl w:val="1"/>
        <w:rPr>
          <w:rFonts w:hint="eastAsia" w:ascii="宋体" w:hAnsi="宋体"/>
          <w:b/>
          <w:bCs/>
          <w:snapToGrid w:val="0"/>
          <w:sz w:val="24"/>
          <w:szCs w:val="24"/>
        </w:rPr>
      </w:pPr>
      <w:bookmarkStart w:id="111" w:name="_Toc5211"/>
      <w:bookmarkStart w:id="112" w:name="_Toc1343"/>
      <w:bookmarkStart w:id="113" w:name="_Toc69910987"/>
      <w:bookmarkStart w:id="114" w:name="_Toc9537"/>
      <w:bookmarkStart w:id="115" w:name="_Toc91764930"/>
      <w:bookmarkStart w:id="116" w:name="_Toc18648"/>
      <w:bookmarkStart w:id="117" w:name="_Toc30283835"/>
      <w:bookmarkStart w:id="118" w:name="_Toc438"/>
      <w:bookmarkStart w:id="119" w:name="_Toc16259"/>
      <w:r>
        <w:rPr>
          <w:rFonts w:hint="eastAsia" w:ascii="宋体" w:hAnsi="宋体"/>
          <w:b/>
          <w:bCs/>
          <w:snapToGrid w:val="0"/>
          <w:sz w:val="24"/>
          <w:szCs w:val="24"/>
        </w:rPr>
        <w:t>4.递交响应文件</w:t>
      </w:r>
      <w:bookmarkEnd w:id="111"/>
      <w:bookmarkEnd w:id="112"/>
    </w:p>
    <w:p w14:paraId="63668707">
      <w:pPr>
        <w:pStyle w:val="221"/>
        <w:adjustRightInd w:val="0"/>
        <w:snapToGrid w:val="0"/>
        <w:spacing w:before="0" w:line="440" w:lineRule="exact"/>
        <w:ind w:firstLine="480"/>
        <w:rPr>
          <w:rFonts w:ascii="宋体" w:hAnsi="宋体"/>
        </w:rPr>
      </w:pPr>
      <w:r>
        <w:rPr>
          <w:rFonts w:hint="eastAsia" w:ascii="宋体" w:hAnsi="宋体"/>
        </w:rPr>
        <w:t>4.1响应文件密封和标记</w:t>
      </w:r>
    </w:p>
    <w:p w14:paraId="3B07186A">
      <w:pPr>
        <w:pStyle w:val="24"/>
        <w:spacing w:line="440" w:lineRule="exact"/>
        <w:ind w:right="-624" w:rightChars="-297" w:firstLine="480" w:firstLineChars="200"/>
        <w:jc w:val="left"/>
        <w:rPr>
          <w:rFonts w:hint="eastAsia" w:hAnsi="宋体"/>
          <w:snapToGrid w:val="0"/>
          <w:sz w:val="24"/>
        </w:rPr>
      </w:pPr>
      <w:r>
        <w:rPr>
          <w:rFonts w:hint="eastAsia" w:hAnsi="宋体"/>
          <w:snapToGrid w:val="0"/>
          <w:sz w:val="24"/>
        </w:rPr>
        <w:t>响应文件须装袋密封，封口处须加盖单位公章；如用快递投递，请在快递盒外明显标识项目名称。</w:t>
      </w:r>
    </w:p>
    <w:p w14:paraId="54F15D5D">
      <w:pPr>
        <w:pStyle w:val="24"/>
        <w:spacing w:line="440" w:lineRule="exact"/>
        <w:ind w:right="-624" w:rightChars="-297" w:firstLine="480" w:firstLineChars="200"/>
        <w:jc w:val="left"/>
        <w:rPr>
          <w:rFonts w:hAnsi="宋体"/>
          <w:snapToGrid w:val="0"/>
          <w:sz w:val="24"/>
          <w:szCs w:val="24"/>
        </w:rPr>
      </w:pPr>
      <w:r>
        <w:rPr>
          <w:rFonts w:hint="eastAsia" w:hAnsi="宋体"/>
          <w:sz w:val="24"/>
        </w:rPr>
        <w:t>4.2响应文件的递交：</w:t>
      </w:r>
      <w:r>
        <w:rPr>
          <w:rFonts w:hint="eastAsia" w:hAnsi="宋体"/>
          <w:snapToGrid w:val="0"/>
          <w:sz w:val="24"/>
          <w:szCs w:val="24"/>
        </w:rPr>
        <w:t>详见第一章《采购概况》。</w:t>
      </w:r>
    </w:p>
    <w:p w14:paraId="159710F1">
      <w:pPr>
        <w:pStyle w:val="221"/>
        <w:adjustRightInd w:val="0"/>
        <w:snapToGrid w:val="0"/>
        <w:spacing w:before="0" w:line="440" w:lineRule="exact"/>
        <w:ind w:firstLine="480"/>
        <w:rPr>
          <w:rFonts w:ascii="宋体" w:hAnsi="宋体"/>
        </w:rPr>
      </w:pPr>
      <w:r>
        <w:rPr>
          <w:rFonts w:hint="eastAsia" w:ascii="宋体" w:hAnsi="宋体"/>
        </w:rPr>
        <w:t>4.3响应文件的修改与撤回：</w:t>
      </w:r>
    </w:p>
    <w:p w14:paraId="4D990A23">
      <w:pPr>
        <w:pStyle w:val="221"/>
        <w:adjustRightInd w:val="0"/>
        <w:snapToGrid w:val="0"/>
        <w:spacing w:before="0" w:line="440" w:lineRule="exact"/>
        <w:ind w:firstLine="480"/>
        <w:rPr>
          <w:rFonts w:ascii="宋体" w:hAnsi="宋体"/>
        </w:rPr>
      </w:pPr>
      <w:r>
        <w:rPr>
          <w:rFonts w:hint="eastAsia" w:ascii="宋体" w:hAnsi="宋体"/>
        </w:rPr>
        <w:t>4.3.1响应文件递交截止时间前供应商可对其响应文件进行修改及撤回；</w:t>
      </w:r>
    </w:p>
    <w:p w14:paraId="3E9255F4">
      <w:pPr>
        <w:pStyle w:val="221"/>
        <w:adjustRightInd w:val="0"/>
        <w:snapToGrid w:val="0"/>
        <w:spacing w:before="0" w:line="440" w:lineRule="exact"/>
        <w:ind w:firstLine="480"/>
        <w:rPr>
          <w:rFonts w:ascii="宋体" w:hAnsi="宋体"/>
        </w:rPr>
      </w:pPr>
      <w:r>
        <w:rPr>
          <w:rFonts w:hint="eastAsia" w:ascii="宋体" w:hAnsi="宋体"/>
        </w:rPr>
        <w:t>4.3.2开启响应文件后至响应文件有效期期满前供应商不得修改及撤销其响应文件；</w:t>
      </w:r>
    </w:p>
    <w:p w14:paraId="1D10106C">
      <w:pPr>
        <w:pStyle w:val="221"/>
        <w:adjustRightInd w:val="0"/>
        <w:snapToGrid w:val="0"/>
        <w:spacing w:before="0" w:line="440" w:lineRule="exact"/>
        <w:ind w:firstLine="480"/>
        <w:rPr>
          <w:rFonts w:hint="eastAsia" w:ascii="宋体" w:hAnsi="宋体"/>
        </w:rPr>
      </w:pPr>
      <w:r>
        <w:rPr>
          <w:rFonts w:hint="eastAsia" w:ascii="宋体" w:hAnsi="宋体"/>
        </w:rPr>
        <w:t>4.3.3响应文件不退还。</w:t>
      </w:r>
    </w:p>
    <w:p w14:paraId="20DFC3C6">
      <w:pPr>
        <w:spacing w:line="440" w:lineRule="exact"/>
        <w:outlineLvl w:val="1"/>
        <w:rPr>
          <w:rFonts w:hint="eastAsia" w:ascii="宋体" w:hAnsi="宋体"/>
          <w:b/>
          <w:bCs/>
          <w:snapToGrid w:val="0"/>
          <w:sz w:val="24"/>
          <w:szCs w:val="24"/>
        </w:rPr>
      </w:pPr>
      <w:bookmarkStart w:id="120" w:name="_Toc20791"/>
      <w:bookmarkStart w:id="121" w:name="_Toc25904"/>
      <w:r>
        <w:rPr>
          <w:rFonts w:hint="eastAsia" w:ascii="宋体" w:hAnsi="宋体"/>
          <w:b/>
          <w:snapToGrid w:val="0"/>
          <w:sz w:val="24"/>
          <w:szCs w:val="24"/>
        </w:rPr>
        <w:t>5.组织</w:t>
      </w:r>
      <w:r>
        <w:rPr>
          <w:rFonts w:ascii="宋体" w:hAnsi="宋体"/>
          <w:b/>
          <w:bCs/>
          <w:snapToGrid w:val="0"/>
          <w:sz w:val="24"/>
          <w:szCs w:val="24"/>
        </w:rPr>
        <w:t>评</w:t>
      </w:r>
      <w:r>
        <w:rPr>
          <w:rFonts w:hint="eastAsia" w:ascii="宋体" w:hAnsi="宋体"/>
          <w:b/>
          <w:bCs/>
          <w:snapToGrid w:val="0"/>
          <w:sz w:val="24"/>
          <w:szCs w:val="24"/>
        </w:rPr>
        <w:t>审</w:t>
      </w:r>
      <w:bookmarkEnd w:id="120"/>
      <w:bookmarkEnd w:id="121"/>
    </w:p>
    <w:p w14:paraId="6A23836B">
      <w:pPr>
        <w:pStyle w:val="221"/>
        <w:adjustRightInd w:val="0"/>
        <w:snapToGrid w:val="0"/>
        <w:spacing w:before="0" w:line="440" w:lineRule="exact"/>
        <w:ind w:firstLine="480"/>
        <w:rPr>
          <w:rFonts w:hint="eastAsia" w:ascii="宋体" w:hAnsi="宋体"/>
        </w:rPr>
      </w:pPr>
      <w:r>
        <w:rPr>
          <w:rFonts w:hint="eastAsia" w:ascii="宋体" w:hAnsi="宋体"/>
        </w:rPr>
        <w:t>5.1评审小组组建：由采购组织单位负责组建评审小组，人数为</w:t>
      </w:r>
      <w:r>
        <w:rPr>
          <w:rFonts w:hint="eastAsia" w:ascii="宋体" w:hAnsi="宋体"/>
          <w:u w:val="single"/>
          <w:lang w:val="en-US" w:eastAsia="zh-CN"/>
        </w:rPr>
        <w:t>3</w:t>
      </w:r>
      <w:r>
        <w:rPr>
          <w:rFonts w:hint="eastAsia" w:ascii="宋体" w:hAnsi="宋体"/>
        </w:rPr>
        <w:t>人及以上单数。</w:t>
      </w:r>
    </w:p>
    <w:p w14:paraId="333F3582">
      <w:pPr>
        <w:pStyle w:val="221"/>
        <w:adjustRightInd w:val="0"/>
        <w:snapToGrid w:val="0"/>
        <w:spacing w:before="0" w:line="440" w:lineRule="exact"/>
        <w:ind w:firstLine="480"/>
        <w:rPr>
          <w:rFonts w:hint="eastAsia" w:ascii="宋体" w:hAnsi="宋体"/>
        </w:rPr>
      </w:pPr>
      <w:r>
        <w:rPr>
          <w:rFonts w:hint="eastAsia" w:ascii="宋体" w:hAnsi="宋体"/>
        </w:rPr>
        <w:t>5.2评审原则：遵循公平、公正、科学和择优的原则。</w:t>
      </w:r>
    </w:p>
    <w:p w14:paraId="4356269C">
      <w:pPr>
        <w:pStyle w:val="221"/>
        <w:adjustRightInd w:val="0"/>
        <w:snapToGrid w:val="0"/>
        <w:spacing w:before="0" w:line="440" w:lineRule="exact"/>
        <w:ind w:firstLine="480"/>
        <w:rPr>
          <w:rFonts w:hint="eastAsia" w:ascii="宋体" w:hAnsi="宋体"/>
        </w:rPr>
      </w:pPr>
      <w:r>
        <w:rPr>
          <w:rFonts w:hint="eastAsia" w:ascii="宋体" w:hAnsi="宋体"/>
        </w:rPr>
        <w:t>5.3</w:t>
      </w:r>
      <w:r>
        <w:rPr>
          <w:rFonts w:ascii="宋体" w:hAnsi="宋体"/>
        </w:rPr>
        <w:t>按照第三章“评</w:t>
      </w:r>
      <w:r>
        <w:rPr>
          <w:rFonts w:hint="eastAsia" w:ascii="宋体" w:hAnsi="宋体"/>
        </w:rPr>
        <w:t>审</w:t>
      </w:r>
      <w:r>
        <w:rPr>
          <w:rFonts w:ascii="宋体" w:hAnsi="宋体"/>
        </w:rPr>
        <w:t>办法”规定的方法、评审因素、标准和程序对</w:t>
      </w:r>
      <w:r>
        <w:rPr>
          <w:rFonts w:hint="eastAsia" w:ascii="宋体" w:hAnsi="宋体"/>
        </w:rPr>
        <w:t>响应</w:t>
      </w:r>
      <w:r>
        <w:rPr>
          <w:rFonts w:ascii="宋体" w:hAnsi="宋体"/>
        </w:rPr>
        <w:t>文件进行</w:t>
      </w:r>
      <w:r>
        <w:rPr>
          <w:rFonts w:hint="eastAsia" w:ascii="宋体" w:hAnsi="宋体"/>
        </w:rPr>
        <w:t>评审</w:t>
      </w:r>
      <w:r>
        <w:rPr>
          <w:rFonts w:ascii="宋体" w:hAnsi="宋体"/>
        </w:rPr>
        <w:t>。</w:t>
      </w:r>
    </w:p>
    <w:p w14:paraId="5A484095">
      <w:pPr>
        <w:pStyle w:val="221"/>
        <w:adjustRightInd w:val="0"/>
        <w:snapToGrid w:val="0"/>
        <w:spacing w:before="0" w:line="440" w:lineRule="exact"/>
        <w:ind w:firstLine="480"/>
        <w:rPr>
          <w:rFonts w:hint="eastAsia" w:ascii="宋体" w:hAnsi="宋体"/>
        </w:rPr>
      </w:pPr>
      <w:r>
        <w:rPr>
          <w:rFonts w:hint="eastAsia" w:ascii="宋体" w:hAnsi="宋体"/>
        </w:rPr>
        <w:t>5.4候选成交供应商数量：</w:t>
      </w:r>
      <w:r>
        <w:rPr>
          <w:rFonts w:hint="eastAsia" w:ascii="宋体" w:hAnsi="宋体"/>
          <w:b/>
          <w:bCs/>
          <w:snapToGrid w:val="0"/>
          <w:spacing w:val="8"/>
          <w:szCs w:val="24"/>
          <w:u w:val="single"/>
        </w:rPr>
        <w:t xml:space="preserve"> 1 </w:t>
      </w:r>
      <w:r>
        <w:rPr>
          <w:rFonts w:hint="eastAsia" w:hAnsi="宋体"/>
          <w:szCs w:val="24"/>
        </w:rPr>
        <w:t>个</w:t>
      </w:r>
      <w:r>
        <w:rPr>
          <w:rFonts w:hint="eastAsia" w:ascii="宋体" w:hAnsi="宋体"/>
        </w:rPr>
        <w:t>。</w:t>
      </w:r>
    </w:p>
    <w:p w14:paraId="3668D1C3">
      <w:pPr>
        <w:pStyle w:val="221"/>
        <w:adjustRightInd w:val="0"/>
        <w:snapToGrid w:val="0"/>
        <w:spacing w:before="0" w:line="440" w:lineRule="exact"/>
        <w:ind w:firstLine="480"/>
        <w:rPr>
          <w:rFonts w:hint="eastAsia" w:ascii="宋体" w:hAnsi="宋体"/>
        </w:rPr>
      </w:pPr>
      <w:r>
        <w:rPr>
          <w:rFonts w:hint="eastAsia" w:ascii="宋体" w:hAnsi="宋体"/>
        </w:rPr>
        <w:t>5.5</w:t>
      </w:r>
      <w:r>
        <w:rPr>
          <w:rFonts w:hint="eastAsia" w:ascii="宋体" w:hAnsi="宋体"/>
          <w:snapToGrid w:val="0"/>
        </w:rPr>
        <w:t>采购单位自行组织评审活动，确定成交供应商。</w:t>
      </w:r>
    </w:p>
    <w:p w14:paraId="66100DE7">
      <w:pPr>
        <w:spacing w:line="440" w:lineRule="exact"/>
        <w:outlineLvl w:val="1"/>
        <w:rPr>
          <w:rFonts w:ascii="宋体" w:hAnsi="宋体"/>
          <w:snapToGrid w:val="0"/>
          <w:szCs w:val="24"/>
        </w:rPr>
      </w:pPr>
      <w:bookmarkStart w:id="122" w:name="_Toc8906"/>
      <w:bookmarkStart w:id="123" w:name="_Toc9150"/>
      <w:r>
        <w:rPr>
          <w:rFonts w:hint="eastAsia" w:ascii="宋体" w:hAnsi="宋体"/>
          <w:b/>
          <w:bCs/>
          <w:snapToGrid w:val="0"/>
          <w:sz w:val="24"/>
          <w:szCs w:val="24"/>
        </w:rPr>
        <w:t>6.成交供应商确定</w:t>
      </w:r>
      <w:bookmarkEnd w:id="122"/>
      <w:bookmarkEnd w:id="123"/>
    </w:p>
    <w:p w14:paraId="0C3A9C71">
      <w:pPr>
        <w:spacing w:line="440" w:lineRule="exact"/>
        <w:ind w:firstLine="480" w:firstLineChars="200"/>
        <w:rPr>
          <w:rFonts w:ascii="宋体" w:hAnsi="宋体"/>
          <w:sz w:val="24"/>
          <w:szCs w:val="24"/>
        </w:rPr>
      </w:pPr>
      <w:r>
        <w:rPr>
          <w:rFonts w:hint="eastAsia" w:ascii="宋体" w:hAnsi="宋体"/>
          <w:sz w:val="24"/>
          <w:szCs w:val="24"/>
        </w:rPr>
        <w:t>6.1</w:t>
      </w:r>
      <w:r>
        <w:rPr>
          <w:rFonts w:hint="eastAsia" w:hAnsi="宋体"/>
          <w:iCs/>
          <w:sz w:val="24"/>
          <w:szCs w:val="24"/>
        </w:rPr>
        <w:t>根据评审小组推荐成交供应商，若成交供应商放弃签约</w:t>
      </w:r>
      <w:r>
        <w:rPr>
          <w:rFonts w:hAnsi="宋体"/>
          <w:iCs/>
          <w:sz w:val="24"/>
          <w:szCs w:val="24"/>
        </w:rPr>
        <w:t>、</w:t>
      </w:r>
      <w:r>
        <w:rPr>
          <w:rFonts w:hint="eastAsia" w:hAnsi="宋体"/>
          <w:iCs/>
          <w:sz w:val="24"/>
          <w:szCs w:val="24"/>
        </w:rPr>
        <w:t>或者</w:t>
      </w:r>
      <w:r>
        <w:rPr>
          <w:rFonts w:hAnsi="宋体"/>
          <w:iCs/>
          <w:sz w:val="24"/>
          <w:szCs w:val="24"/>
        </w:rPr>
        <w:t>因不可抗力不能履行合同，或者被查实存在影响</w:t>
      </w:r>
      <w:r>
        <w:rPr>
          <w:rFonts w:hint="eastAsia" w:hAnsi="宋体"/>
          <w:iCs/>
          <w:sz w:val="24"/>
          <w:szCs w:val="24"/>
        </w:rPr>
        <w:t>成交</w:t>
      </w:r>
      <w:r>
        <w:rPr>
          <w:rFonts w:hAnsi="宋体"/>
          <w:iCs/>
          <w:sz w:val="24"/>
          <w:szCs w:val="24"/>
        </w:rPr>
        <w:t>结果的违法行为等情形，</w:t>
      </w:r>
      <w:r>
        <w:rPr>
          <w:rFonts w:hint="eastAsia" w:ascii="宋体" w:hAnsi="宋体"/>
          <w:sz w:val="24"/>
          <w:szCs w:val="24"/>
        </w:rPr>
        <w:t>采购</w:t>
      </w:r>
      <w:r>
        <w:rPr>
          <w:rFonts w:ascii="宋体" w:hAnsi="宋体"/>
          <w:sz w:val="24"/>
          <w:szCs w:val="24"/>
        </w:rPr>
        <w:t>单位将视情况更换</w:t>
      </w:r>
      <w:r>
        <w:rPr>
          <w:rFonts w:hint="eastAsia" w:ascii="宋体" w:hAnsi="宋体"/>
          <w:sz w:val="24"/>
          <w:szCs w:val="24"/>
        </w:rPr>
        <w:t>成交供应商或重新采购</w:t>
      </w:r>
      <w:r>
        <w:rPr>
          <w:rFonts w:ascii="宋体" w:hAnsi="宋体"/>
          <w:sz w:val="24"/>
          <w:szCs w:val="24"/>
        </w:rPr>
        <w:t>。</w:t>
      </w:r>
    </w:p>
    <w:p w14:paraId="79C96A29">
      <w:pPr>
        <w:adjustRightInd w:val="0"/>
        <w:snapToGrid w:val="0"/>
        <w:spacing w:line="440" w:lineRule="exact"/>
        <w:ind w:firstLine="480" w:firstLineChars="200"/>
        <w:rPr>
          <w:rFonts w:hint="eastAsia" w:ascii="宋体" w:hAnsi="宋体"/>
          <w:sz w:val="24"/>
          <w:szCs w:val="24"/>
        </w:rPr>
      </w:pPr>
      <w:r>
        <w:rPr>
          <w:rFonts w:hint="eastAsia" w:ascii="宋体" w:hAnsi="宋体"/>
          <w:sz w:val="24"/>
          <w:szCs w:val="24"/>
        </w:rPr>
        <w:t>6.2在确定候选成交供应商后，</w:t>
      </w:r>
      <w:r>
        <w:rPr>
          <w:rFonts w:hint="eastAsia" w:hAnsi="宋体"/>
          <w:iCs/>
          <w:sz w:val="24"/>
          <w:szCs w:val="24"/>
        </w:rPr>
        <w:t>采购</w:t>
      </w:r>
      <w:r>
        <w:rPr>
          <w:rFonts w:hAnsi="宋体"/>
          <w:iCs/>
          <w:sz w:val="24"/>
          <w:szCs w:val="24"/>
        </w:rPr>
        <w:t>单位</w:t>
      </w:r>
      <w:r>
        <w:rPr>
          <w:rFonts w:hint="eastAsia" w:ascii="宋体" w:hAnsi="宋体"/>
          <w:snapToGrid w:val="0"/>
          <w:sz w:val="24"/>
        </w:rPr>
        <w:t>在浙江钱塘江水利建筑工程有限公司（http://www.qtjsj.com/）网站首页</w:t>
      </w:r>
      <w:r>
        <w:rPr>
          <w:rFonts w:hint="eastAsia" w:ascii="宋体" w:hAnsi="宋体"/>
          <w:sz w:val="24"/>
          <w:szCs w:val="24"/>
        </w:rPr>
        <w:t>进行成交候选人公示。</w:t>
      </w:r>
    </w:p>
    <w:p w14:paraId="27144318">
      <w:pPr>
        <w:spacing w:line="440" w:lineRule="exact"/>
        <w:outlineLvl w:val="1"/>
        <w:rPr>
          <w:rFonts w:ascii="宋体" w:hAnsi="宋体"/>
          <w:b/>
          <w:bCs/>
          <w:snapToGrid w:val="0"/>
          <w:sz w:val="24"/>
          <w:szCs w:val="24"/>
        </w:rPr>
      </w:pPr>
      <w:bookmarkStart w:id="124" w:name="_Toc10983"/>
      <w:bookmarkStart w:id="125" w:name="_Toc30413"/>
      <w:r>
        <w:rPr>
          <w:rFonts w:hint="eastAsia" w:ascii="宋体" w:hAnsi="宋体"/>
          <w:b/>
          <w:bCs/>
          <w:snapToGrid w:val="0"/>
          <w:sz w:val="24"/>
          <w:szCs w:val="24"/>
        </w:rPr>
        <w:t>7.签订</w:t>
      </w:r>
      <w:r>
        <w:rPr>
          <w:rFonts w:ascii="宋体" w:hAnsi="宋体"/>
          <w:b/>
          <w:bCs/>
          <w:snapToGrid w:val="0"/>
          <w:sz w:val="24"/>
          <w:szCs w:val="24"/>
        </w:rPr>
        <w:t>合同</w:t>
      </w:r>
      <w:bookmarkEnd w:id="124"/>
      <w:bookmarkEnd w:id="125"/>
    </w:p>
    <w:p w14:paraId="33F7446B">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1</w:t>
      </w:r>
      <w:r>
        <w:rPr>
          <w:rFonts w:hint="eastAsia" w:ascii="宋体" w:hAnsi="宋体"/>
          <w:sz w:val="24"/>
          <w:szCs w:val="24"/>
        </w:rPr>
        <w:t>采购</w:t>
      </w:r>
      <w:r>
        <w:rPr>
          <w:rFonts w:ascii="宋体" w:hAnsi="宋体"/>
          <w:sz w:val="24"/>
          <w:szCs w:val="24"/>
        </w:rPr>
        <w:t>单位和</w:t>
      </w:r>
      <w:r>
        <w:rPr>
          <w:rFonts w:hint="eastAsia" w:ascii="宋体" w:hAnsi="宋体"/>
          <w:sz w:val="24"/>
          <w:szCs w:val="24"/>
        </w:rPr>
        <w:t>供应商</w:t>
      </w:r>
      <w:r>
        <w:rPr>
          <w:rFonts w:ascii="宋体" w:hAnsi="宋体"/>
          <w:sz w:val="24"/>
          <w:szCs w:val="24"/>
        </w:rPr>
        <w:t>应当自通知发出之日起</w:t>
      </w:r>
      <w:r>
        <w:rPr>
          <w:rFonts w:hint="eastAsia" w:ascii="宋体" w:hAnsi="宋体"/>
          <w:sz w:val="24"/>
          <w:szCs w:val="24"/>
        </w:rPr>
        <w:t>30</w:t>
      </w:r>
      <w:r>
        <w:rPr>
          <w:rFonts w:ascii="宋体" w:hAnsi="宋体"/>
          <w:sz w:val="24"/>
          <w:szCs w:val="24"/>
        </w:rPr>
        <w:t>天内，订立书面合同。</w:t>
      </w:r>
    </w:p>
    <w:p w14:paraId="10EB8407">
      <w:pPr>
        <w:spacing w:line="440" w:lineRule="exact"/>
        <w:ind w:firstLine="480" w:firstLineChars="200"/>
        <w:rPr>
          <w:rFonts w:ascii="宋体" w:hAnsi="宋体"/>
          <w:sz w:val="24"/>
          <w:szCs w:val="24"/>
        </w:rPr>
      </w:pPr>
      <w:r>
        <w:rPr>
          <w:rFonts w:hint="eastAsia" w:ascii="宋体" w:hAnsi="宋体"/>
          <w:sz w:val="24"/>
          <w:szCs w:val="24"/>
        </w:rPr>
        <w:t>7.</w:t>
      </w:r>
      <w:r>
        <w:rPr>
          <w:rFonts w:ascii="宋体" w:hAnsi="宋体"/>
          <w:sz w:val="24"/>
          <w:szCs w:val="24"/>
        </w:rPr>
        <w:t>2发出通知后，</w:t>
      </w:r>
      <w:r>
        <w:rPr>
          <w:rFonts w:hint="eastAsia" w:ascii="宋体" w:hAnsi="宋体"/>
          <w:sz w:val="24"/>
          <w:szCs w:val="24"/>
        </w:rPr>
        <w:t>采购</w:t>
      </w:r>
      <w:r>
        <w:rPr>
          <w:rFonts w:ascii="宋体" w:hAnsi="宋体"/>
          <w:sz w:val="24"/>
          <w:szCs w:val="24"/>
        </w:rPr>
        <w:t>单位和</w:t>
      </w:r>
      <w:r>
        <w:rPr>
          <w:rFonts w:hint="eastAsia" w:ascii="宋体" w:hAnsi="宋体"/>
          <w:sz w:val="24"/>
          <w:szCs w:val="24"/>
        </w:rPr>
        <w:t>供应商</w:t>
      </w:r>
      <w:r>
        <w:rPr>
          <w:rFonts w:ascii="宋体" w:hAnsi="宋体"/>
          <w:sz w:val="24"/>
          <w:szCs w:val="24"/>
        </w:rPr>
        <w:t>无正当理由拒签合同的，给</w:t>
      </w:r>
      <w:r>
        <w:rPr>
          <w:rFonts w:hint="eastAsia" w:ascii="宋体" w:hAnsi="宋体"/>
          <w:sz w:val="24"/>
          <w:szCs w:val="24"/>
        </w:rPr>
        <w:t>对方</w:t>
      </w:r>
      <w:r>
        <w:rPr>
          <w:rFonts w:ascii="宋体" w:hAnsi="宋体"/>
          <w:sz w:val="24"/>
          <w:szCs w:val="24"/>
        </w:rPr>
        <w:t>造成损失的，</w:t>
      </w:r>
      <w:r>
        <w:rPr>
          <w:rFonts w:hint="eastAsia" w:ascii="宋体" w:hAnsi="宋体"/>
          <w:sz w:val="24"/>
          <w:szCs w:val="24"/>
        </w:rPr>
        <w:t>视责任</w:t>
      </w:r>
      <w:r>
        <w:rPr>
          <w:rFonts w:ascii="宋体" w:hAnsi="宋体"/>
          <w:sz w:val="24"/>
          <w:szCs w:val="24"/>
        </w:rPr>
        <w:t>应当赔偿损失。</w:t>
      </w:r>
    </w:p>
    <w:bookmarkEnd w:id="73"/>
    <w:bookmarkEnd w:id="74"/>
    <w:bookmarkEnd w:id="75"/>
    <w:bookmarkEnd w:id="76"/>
    <w:bookmarkEnd w:id="77"/>
    <w:bookmarkEnd w:id="113"/>
    <w:bookmarkEnd w:id="114"/>
    <w:bookmarkEnd w:id="115"/>
    <w:bookmarkEnd w:id="116"/>
    <w:bookmarkEnd w:id="117"/>
    <w:bookmarkEnd w:id="118"/>
    <w:bookmarkEnd w:id="119"/>
    <w:p w14:paraId="74A3C21F">
      <w:pPr>
        <w:widowControl/>
        <w:numPr>
          <w:ilvl w:val="0"/>
          <w:numId w:val="2"/>
        </w:numPr>
        <w:spacing w:line="440" w:lineRule="exact"/>
        <w:jc w:val="center"/>
        <w:outlineLvl w:val="0"/>
        <w:rPr>
          <w:rFonts w:hint="eastAsia" w:ascii="宋体" w:hAnsi="宋体" w:cs="宋体"/>
          <w:b/>
          <w:bCs/>
          <w:kern w:val="0"/>
          <w:sz w:val="28"/>
          <w:szCs w:val="28"/>
        </w:rPr>
      </w:pPr>
      <w:bookmarkStart w:id="126" w:name="_Toc152042387"/>
      <w:bookmarkStart w:id="127" w:name="_Toc144974577"/>
      <w:bookmarkStart w:id="128" w:name="_Toc152045609"/>
      <w:bookmarkStart w:id="129" w:name="_Toc353400080"/>
      <w:bookmarkStart w:id="130" w:name="_Toc22211788"/>
      <w:bookmarkStart w:id="131" w:name="_Toc229646768"/>
      <w:r>
        <w:rPr>
          <w:rFonts w:ascii="宋体" w:hAnsi="宋体"/>
          <w:b/>
          <w:color w:val="auto"/>
          <w:sz w:val="28"/>
          <w:highlight w:val="none"/>
        </w:rPr>
        <w:br w:type="page"/>
      </w:r>
      <w:bookmarkStart w:id="132" w:name="_Toc29472"/>
      <w:bookmarkStart w:id="133" w:name="_Toc9040"/>
      <w:bookmarkStart w:id="134" w:name="_Toc15614"/>
      <w:bookmarkStart w:id="135" w:name="_Toc15120"/>
      <w:bookmarkStart w:id="136" w:name="_Toc8559"/>
      <w:r>
        <w:rPr>
          <w:rFonts w:hint="eastAsia" w:ascii="宋体" w:hAnsi="宋体" w:cs="宋体"/>
          <w:b/>
          <w:bCs/>
          <w:kern w:val="0"/>
          <w:sz w:val="28"/>
          <w:szCs w:val="28"/>
        </w:rPr>
        <w:t>评   审（综合评分法）</w:t>
      </w:r>
      <w:bookmarkEnd w:id="132"/>
      <w:bookmarkEnd w:id="133"/>
      <w:bookmarkEnd w:id="134"/>
      <w:bookmarkEnd w:id="135"/>
    </w:p>
    <w:tbl>
      <w:tblPr>
        <w:tblStyle w:val="46"/>
        <w:tblW w:w="8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5"/>
        <w:gridCol w:w="912"/>
        <w:gridCol w:w="1533"/>
        <w:gridCol w:w="5784"/>
      </w:tblGrid>
      <w:tr w14:paraId="0463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69" w:type="dxa"/>
            <w:gridSpan w:val="3"/>
            <w:noWrap w:val="0"/>
            <w:vAlign w:val="center"/>
          </w:tcPr>
          <w:p w14:paraId="350E03C6">
            <w:pPr>
              <w:spacing w:line="360" w:lineRule="exact"/>
              <w:jc w:val="center"/>
              <w:rPr>
                <w:rFonts w:hint="eastAsia" w:ascii="宋体" w:hAnsi="宋体"/>
                <w:b/>
                <w:szCs w:val="21"/>
              </w:rPr>
            </w:pPr>
            <w:r>
              <w:rPr>
                <w:rFonts w:hint="eastAsia" w:ascii="宋体" w:hAnsi="宋体"/>
                <w:b/>
                <w:szCs w:val="21"/>
              </w:rPr>
              <w:t>条款号</w:t>
            </w:r>
          </w:p>
        </w:tc>
        <w:tc>
          <w:tcPr>
            <w:tcW w:w="1533" w:type="dxa"/>
            <w:noWrap w:val="0"/>
            <w:vAlign w:val="center"/>
          </w:tcPr>
          <w:p w14:paraId="636F1B73">
            <w:pPr>
              <w:spacing w:line="360" w:lineRule="exact"/>
              <w:jc w:val="center"/>
              <w:rPr>
                <w:rFonts w:hint="eastAsia" w:ascii="宋体" w:hAnsi="宋体"/>
                <w:b/>
                <w:szCs w:val="21"/>
              </w:rPr>
            </w:pPr>
            <w:r>
              <w:rPr>
                <w:rFonts w:hint="eastAsia" w:ascii="宋体" w:hAnsi="宋体"/>
                <w:b/>
                <w:szCs w:val="21"/>
              </w:rPr>
              <w:t>评审因素</w:t>
            </w:r>
          </w:p>
        </w:tc>
        <w:tc>
          <w:tcPr>
            <w:tcW w:w="5784" w:type="dxa"/>
            <w:noWrap w:val="0"/>
            <w:vAlign w:val="center"/>
          </w:tcPr>
          <w:p w14:paraId="35BE1170">
            <w:pPr>
              <w:spacing w:line="360" w:lineRule="exact"/>
              <w:jc w:val="center"/>
              <w:rPr>
                <w:rFonts w:hint="eastAsia" w:ascii="宋体" w:hAnsi="宋体"/>
                <w:b/>
                <w:szCs w:val="21"/>
              </w:rPr>
            </w:pPr>
            <w:r>
              <w:rPr>
                <w:rFonts w:hint="eastAsia" w:ascii="宋体" w:hAnsi="宋体"/>
                <w:b/>
                <w:szCs w:val="21"/>
              </w:rPr>
              <w:t>评审标准</w:t>
            </w:r>
          </w:p>
        </w:tc>
      </w:tr>
      <w:tr w14:paraId="048B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52" w:type="dxa"/>
            <w:vMerge w:val="restart"/>
            <w:noWrap w:val="0"/>
            <w:vAlign w:val="center"/>
          </w:tcPr>
          <w:p w14:paraId="7FD2418F">
            <w:pPr>
              <w:spacing w:line="360" w:lineRule="exact"/>
              <w:jc w:val="center"/>
              <w:rPr>
                <w:rFonts w:hint="eastAsia" w:ascii="宋体" w:hAnsi="宋体"/>
                <w:szCs w:val="21"/>
              </w:rPr>
            </w:pPr>
            <w:r>
              <w:rPr>
                <w:rFonts w:hint="eastAsia" w:ascii="宋体" w:hAnsi="宋体"/>
                <w:szCs w:val="21"/>
              </w:rPr>
              <w:t>3.1.1</w:t>
            </w:r>
          </w:p>
        </w:tc>
        <w:tc>
          <w:tcPr>
            <w:tcW w:w="917" w:type="dxa"/>
            <w:gridSpan w:val="2"/>
            <w:vMerge w:val="restart"/>
            <w:noWrap w:val="0"/>
            <w:vAlign w:val="center"/>
          </w:tcPr>
          <w:p w14:paraId="0E3BE8B1">
            <w:pPr>
              <w:spacing w:line="360" w:lineRule="exact"/>
              <w:jc w:val="center"/>
              <w:rPr>
                <w:rFonts w:hint="eastAsia" w:ascii="宋体" w:hAnsi="宋体"/>
                <w:szCs w:val="21"/>
              </w:rPr>
            </w:pPr>
            <w:r>
              <w:rPr>
                <w:rFonts w:hint="eastAsia" w:ascii="宋体" w:hAnsi="宋体"/>
                <w:szCs w:val="21"/>
              </w:rPr>
              <w:t>资格评审标准</w:t>
            </w:r>
          </w:p>
        </w:tc>
        <w:tc>
          <w:tcPr>
            <w:tcW w:w="1533" w:type="dxa"/>
            <w:noWrap w:val="0"/>
            <w:vAlign w:val="center"/>
          </w:tcPr>
          <w:p w14:paraId="5053339B">
            <w:pPr>
              <w:spacing w:line="360" w:lineRule="exact"/>
              <w:jc w:val="center"/>
              <w:rPr>
                <w:rFonts w:hint="eastAsia" w:ascii="宋体" w:hAnsi="宋体"/>
                <w:szCs w:val="21"/>
              </w:rPr>
            </w:pPr>
            <w:r>
              <w:rPr>
                <w:rFonts w:hint="eastAsia" w:ascii="宋体" w:hAnsi="宋体"/>
                <w:szCs w:val="21"/>
              </w:rPr>
              <w:t>资格条件</w:t>
            </w:r>
          </w:p>
        </w:tc>
        <w:tc>
          <w:tcPr>
            <w:tcW w:w="5784" w:type="dxa"/>
            <w:noWrap w:val="0"/>
            <w:vAlign w:val="center"/>
          </w:tcPr>
          <w:p w14:paraId="0EB89C5A">
            <w:pPr>
              <w:spacing w:line="360" w:lineRule="exact"/>
              <w:rPr>
                <w:rFonts w:hint="eastAsia"/>
              </w:rPr>
            </w:pPr>
            <w:r>
              <w:rPr>
                <w:rFonts w:hint="eastAsia" w:ascii="宋体" w:hAnsi="宋体"/>
                <w:szCs w:val="21"/>
              </w:rPr>
              <w:t>符合第一章“采购概况”的规定。</w:t>
            </w:r>
          </w:p>
        </w:tc>
      </w:tr>
      <w:tr w14:paraId="17DF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2" w:type="dxa"/>
            <w:vMerge w:val="continue"/>
            <w:noWrap w:val="0"/>
            <w:vAlign w:val="top"/>
          </w:tcPr>
          <w:p w14:paraId="2B633F8D">
            <w:pPr>
              <w:spacing w:line="360" w:lineRule="exact"/>
              <w:rPr>
                <w:rFonts w:hint="eastAsia" w:ascii="宋体" w:hAnsi="宋体"/>
                <w:szCs w:val="21"/>
              </w:rPr>
            </w:pPr>
          </w:p>
        </w:tc>
        <w:tc>
          <w:tcPr>
            <w:tcW w:w="917" w:type="dxa"/>
            <w:gridSpan w:val="2"/>
            <w:vMerge w:val="continue"/>
            <w:noWrap w:val="0"/>
            <w:vAlign w:val="top"/>
          </w:tcPr>
          <w:p w14:paraId="21D0EBB6">
            <w:pPr>
              <w:spacing w:line="360" w:lineRule="exact"/>
              <w:rPr>
                <w:rFonts w:hint="eastAsia" w:ascii="宋体" w:hAnsi="宋体"/>
                <w:szCs w:val="21"/>
              </w:rPr>
            </w:pPr>
          </w:p>
        </w:tc>
        <w:tc>
          <w:tcPr>
            <w:tcW w:w="1533" w:type="dxa"/>
            <w:noWrap w:val="0"/>
            <w:vAlign w:val="center"/>
          </w:tcPr>
          <w:p w14:paraId="172890FD">
            <w:pPr>
              <w:spacing w:line="360" w:lineRule="exact"/>
              <w:jc w:val="center"/>
              <w:rPr>
                <w:rFonts w:hint="eastAsia" w:ascii="宋体" w:hAnsi="宋体"/>
                <w:szCs w:val="21"/>
              </w:rPr>
            </w:pPr>
            <w:r>
              <w:rPr>
                <w:rFonts w:hint="eastAsia" w:ascii="宋体" w:hAnsi="宋体"/>
                <w:szCs w:val="21"/>
              </w:rPr>
              <w:t>响应文件签字盖章情况</w:t>
            </w:r>
          </w:p>
        </w:tc>
        <w:tc>
          <w:tcPr>
            <w:tcW w:w="5784" w:type="dxa"/>
            <w:noWrap w:val="0"/>
            <w:vAlign w:val="center"/>
          </w:tcPr>
          <w:p w14:paraId="326A2638">
            <w:pPr>
              <w:spacing w:line="360" w:lineRule="exact"/>
              <w:rPr>
                <w:rFonts w:hint="eastAsia" w:ascii="宋体" w:hAnsi="宋体"/>
                <w:szCs w:val="21"/>
              </w:rPr>
            </w:pPr>
            <w:r>
              <w:rPr>
                <w:rFonts w:hint="eastAsia" w:ascii="宋体" w:hAnsi="宋体"/>
                <w:szCs w:val="21"/>
              </w:rPr>
              <w:t>有法定代表人或其委托代理人签字和加盖单位公章，委托代理人的有效的委托授权书。</w:t>
            </w:r>
          </w:p>
        </w:tc>
      </w:tr>
      <w:tr w14:paraId="6A3E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52" w:type="dxa"/>
            <w:vMerge w:val="continue"/>
            <w:noWrap w:val="0"/>
            <w:vAlign w:val="top"/>
          </w:tcPr>
          <w:p w14:paraId="13A8F428">
            <w:pPr>
              <w:spacing w:line="360" w:lineRule="exact"/>
              <w:rPr>
                <w:rFonts w:hint="eastAsia" w:ascii="宋体" w:hAnsi="宋体"/>
                <w:szCs w:val="21"/>
              </w:rPr>
            </w:pPr>
          </w:p>
        </w:tc>
        <w:tc>
          <w:tcPr>
            <w:tcW w:w="917" w:type="dxa"/>
            <w:gridSpan w:val="2"/>
            <w:vMerge w:val="continue"/>
            <w:noWrap w:val="0"/>
            <w:vAlign w:val="top"/>
          </w:tcPr>
          <w:p w14:paraId="16116C47">
            <w:pPr>
              <w:spacing w:line="360" w:lineRule="exact"/>
              <w:rPr>
                <w:rFonts w:hint="eastAsia" w:ascii="宋体" w:hAnsi="宋体"/>
                <w:szCs w:val="21"/>
              </w:rPr>
            </w:pPr>
          </w:p>
        </w:tc>
        <w:tc>
          <w:tcPr>
            <w:tcW w:w="1533" w:type="dxa"/>
            <w:noWrap w:val="0"/>
            <w:vAlign w:val="center"/>
          </w:tcPr>
          <w:p w14:paraId="752B1AFA">
            <w:pPr>
              <w:spacing w:line="360" w:lineRule="exact"/>
              <w:jc w:val="center"/>
              <w:rPr>
                <w:rFonts w:hint="eastAsia" w:ascii="宋体" w:hAnsi="宋体"/>
                <w:szCs w:val="21"/>
              </w:rPr>
            </w:pPr>
            <w:r>
              <w:rPr>
                <w:rFonts w:hint="eastAsia" w:ascii="宋体" w:hAnsi="宋体"/>
                <w:szCs w:val="21"/>
              </w:rPr>
              <w:t>响应文件格式</w:t>
            </w:r>
          </w:p>
        </w:tc>
        <w:tc>
          <w:tcPr>
            <w:tcW w:w="5784" w:type="dxa"/>
            <w:noWrap w:val="0"/>
            <w:vAlign w:val="center"/>
          </w:tcPr>
          <w:p w14:paraId="6F13ECC3">
            <w:pPr>
              <w:spacing w:line="360" w:lineRule="exact"/>
              <w:rPr>
                <w:rFonts w:hint="eastAsia" w:ascii="宋体" w:hAnsi="宋体"/>
                <w:szCs w:val="21"/>
              </w:rPr>
            </w:pPr>
            <w:r>
              <w:rPr>
                <w:rFonts w:hint="eastAsia" w:ascii="宋体" w:hAnsi="宋体"/>
                <w:szCs w:val="21"/>
              </w:rPr>
              <w:t>符合第六章“响应文件格式”的要求。</w:t>
            </w:r>
          </w:p>
        </w:tc>
      </w:tr>
      <w:tr w14:paraId="4068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52" w:type="dxa"/>
            <w:vMerge w:val="continue"/>
            <w:noWrap w:val="0"/>
            <w:vAlign w:val="top"/>
          </w:tcPr>
          <w:p w14:paraId="5CAE7D20">
            <w:pPr>
              <w:spacing w:line="360" w:lineRule="exact"/>
              <w:rPr>
                <w:rFonts w:hint="eastAsia" w:ascii="宋体" w:hAnsi="宋体"/>
                <w:szCs w:val="21"/>
              </w:rPr>
            </w:pPr>
          </w:p>
        </w:tc>
        <w:tc>
          <w:tcPr>
            <w:tcW w:w="917" w:type="dxa"/>
            <w:gridSpan w:val="2"/>
            <w:vMerge w:val="continue"/>
            <w:noWrap w:val="0"/>
            <w:vAlign w:val="top"/>
          </w:tcPr>
          <w:p w14:paraId="718106E6">
            <w:pPr>
              <w:spacing w:line="360" w:lineRule="exact"/>
              <w:rPr>
                <w:rFonts w:hint="eastAsia" w:ascii="宋体" w:hAnsi="宋体"/>
                <w:szCs w:val="21"/>
              </w:rPr>
            </w:pPr>
          </w:p>
        </w:tc>
        <w:tc>
          <w:tcPr>
            <w:tcW w:w="1533" w:type="dxa"/>
            <w:noWrap w:val="0"/>
            <w:vAlign w:val="center"/>
          </w:tcPr>
          <w:p w14:paraId="6A8CFE8B">
            <w:pPr>
              <w:spacing w:line="360" w:lineRule="exact"/>
              <w:jc w:val="center"/>
              <w:rPr>
                <w:rFonts w:hint="eastAsia" w:ascii="宋体" w:hAnsi="宋体"/>
                <w:szCs w:val="21"/>
              </w:rPr>
            </w:pPr>
            <w:r>
              <w:rPr>
                <w:rFonts w:hint="eastAsia" w:ascii="宋体" w:hAnsi="宋体"/>
                <w:szCs w:val="21"/>
              </w:rPr>
              <w:t>报价唯一</w:t>
            </w:r>
          </w:p>
        </w:tc>
        <w:tc>
          <w:tcPr>
            <w:tcW w:w="5784" w:type="dxa"/>
            <w:noWrap w:val="0"/>
            <w:vAlign w:val="center"/>
          </w:tcPr>
          <w:p w14:paraId="0AB80D81">
            <w:pPr>
              <w:spacing w:line="360" w:lineRule="exact"/>
              <w:rPr>
                <w:rFonts w:hint="eastAsia" w:ascii="宋体" w:hAnsi="宋体"/>
                <w:szCs w:val="21"/>
              </w:rPr>
            </w:pPr>
            <w:r>
              <w:rPr>
                <w:rFonts w:hint="eastAsia" w:ascii="宋体" w:hAnsi="宋体"/>
                <w:szCs w:val="21"/>
              </w:rPr>
              <w:t>只能有一个有效报价。</w:t>
            </w:r>
          </w:p>
        </w:tc>
      </w:tr>
      <w:tr w14:paraId="70DB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52" w:type="dxa"/>
            <w:vMerge w:val="restart"/>
            <w:noWrap w:val="0"/>
            <w:vAlign w:val="center"/>
          </w:tcPr>
          <w:p w14:paraId="742A3381">
            <w:pPr>
              <w:spacing w:line="360" w:lineRule="exact"/>
              <w:jc w:val="center"/>
              <w:rPr>
                <w:rFonts w:hint="eastAsia" w:ascii="宋体" w:hAnsi="宋体"/>
                <w:szCs w:val="21"/>
              </w:rPr>
            </w:pPr>
            <w:r>
              <w:rPr>
                <w:rFonts w:hint="eastAsia" w:ascii="宋体" w:hAnsi="宋体"/>
                <w:szCs w:val="21"/>
              </w:rPr>
              <w:t>3.1.2</w:t>
            </w:r>
          </w:p>
        </w:tc>
        <w:tc>
          <w:tcPr>
            <w:tcW w:w="917" w:type="dxa"/>
            <w:gridSpan w:val="2"/>
            <w:vMerge w:val="restart"/>
            <w:noWrap w:val="0"/>
            <w:vAlign w:val="center"/>
          </w:tcPr>
          <w:p w14:paraId="0F2F0A21">
            <w:pPr>
              <w:spacing w:line="360" w:lineRule="exact"/>
              <w:jc w:val="center"/>
              <w:rPr>
                <w:rFonts w:hint="eastAsia" w:ascii="宋体" w:hAnsi="宋体"/>
                <w:szCs w:val="21"/>
              </w:rPr>
            </w:pPr>
            <w:r>
              <w:rPr>
                <w:rFonts w:hint="eastAsia" w:ascii="宋体" w:hAnsi="宋体"/>
                <w:szCs w:val="21"/>
              </w:rPr>
              <w:t>响应性评审标准</w:t>
            </w:r>
          </w:p>
        </w:tc>
        <w:tc>
          <w:tcPr>
            <w:tcW w:w="1533" w:type="dxa"/>
            <w:noWrap w:val="0"/>
            <w:vAlign w:val="center"/>
          </w:tcPr>
          <w:p w14:paraId="2639E9AE">
            <w:pPr>
              <w:spacing w:line="360" w:lineRule="exact"/>
              <w:jc w:val="center"/>
              <w:rPr>
                <w:rFonts w:hint="eastAsia" w:ascii="宋体" w:hAnsi="宋体"/>
                <w:szCs w:val="21"/>
              </w:rPr>
            </w:pPr>
            <w:r>
              <w:rPr>
                <w:rFonts w:hint="eastAsia" w:ascii="宋体" w:hAnsi="宋体"/>
                <w:szCs w:val="21"/>
              </w:rPr>
              <w:t>响应范围</w:t>
            </w:r>
          </w:p>
        </w:tc>
        <w:tc>
          <w:tcPr>
            <w:tcW w:w="5784" w:type="dxa"/>
            <w:noWrap w:val="0"/>
            <w:vAlign w:val="center"/>
          </w:tcPr>
          <w:p w14:paraId="46D6DE3D">
            <w:pPr>
              <w:spacing w:line="360" w:lineRule="exact"/>
              <w:rPr>
                <w:rFonts w:hint="eastAsia" w:ascii="宋体" w:hAnsi="宋体"/>
                <w:szCs w:val="21"/>
              </w:rPr>
            </w:pPr>
            <w:r>
              <w:rPr>
                <w:rFonts w:hint="eastAsia" w:ascii="宋体" w:hAnsi="宋体"/>
                <w:szCs w:val="21"/>
              </w:rPr>
              <w:t>符合第一章“采购概况”的规定。</w:t>
            </w:r>
          </w:p>
        </w:tc>
      </w:tr>
      <w:tr w14:paraId="3D5ED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752" w:type="dxa"/>
            <w:vMerge w:val="continue"/>
            <w:noWrap w:val="0"/>
            <w:vAlign w:val="top"/>
          </w:tcPr>
          <w:p w14:paraId="18C105D3">
            <w:pPr>
              <w:spacing w:line="360" w:lineRule="exact"/>
              <w:rPr>
                <w:rFonts w:hint="eastAsia" w:ascii="宋体" w:hAnsi="宋体"/>
                <w:szCs w:val="21"/>
              </w:rPr>
            </w:pPr>
          </w:p>
        </w:tc>
        <w:tc>
          <w:tcPr>
            <w:tcW w:w="917" w:type="dxa"/>
            <w:gridSpan w:val="2"/>
            <w:vMerge w:val="continue"/>
            <w:noWrap w:val="0"/>
            <w:vAlign w:val="top"/>
          </w:tcPr>
          <w:p w14:paraId="591C1631">
            <w:pPr>
              <w:spacing w:line="360" w:lineRule="exact"/>
              <w:rPr>
                <w:rFonts w:hint="eastAsia" w:ascii="宋体" w:hAnsi="宋体"/>
                <w:szCs w:val="21"/>
              </w:rPr>
            </w:pPr>
          </w:p>
        </w:tc>
        <w:tc>
          <w:tcPr>
            <w:tcW w:w="1533" w:type="dxa"/>
            <w:noWrap w:val="0"/>
            <w:vAlign w:val="center"/>
          </w:tcPr>
          <w:p w14:paraId="6E3A625E">
            <w:pPr>
              <w:spacing w:line="360" w:lineRule="exact"/>
              <w:jc w:val="center"/>
              <w:rPr>
                <w:rFonts w:hint="eastAsia" w:ascii="宋体" w:hAnsi="宋体"/>
                <w:szCs w:val="21"/>
              </w:rPr>
            </w:pPr>
            <w:r>
              <w:rPr>
                <w:rFonts w:hint="eastAsia" w:ascii="宋体" w:hAnsi="宋体"/>
                <w:szCs w:val="21"/>
              </w:rPr>
              <w:t>工期</w:t>
            </w:r>
          </w:p>
        </w:tc>
        <w:tc>
          <w:tcPr>
            <w:tcW w:w="5784" w:type="dxa"/>
            <w:noWrap w:val="0"/>
            <w:vAlign w:val="center"/>
          </w:tcPr>
          <w:p w14:paraId="65DABBB7">
            <w:pPr>
              <w:spacing w:line="360" w:lineRule="exact"/>
              <w:rPr>
                <w:rFonts w:hint="eastAsia" w:ascii="宋体" w:hAnsi="宋体"/>
                <w:szCs w:val="21"/>
              </w:rPr>
            </w:pPr>
            <w:r>
              <w:rPr>
                <w:rFonts w:hint="eastAsia" w:ascii="宋体" w:hAnsi="宋体"/>
                <w:szCs w:val="21"/>
              </w:rPr>
              <w:t>符合第一章“采购概况”</w:t>
            </w:r>
            <w:r>
              <w:rPr>
                <w:rFonts w:hint="eastAsia" w:ascii="宋体" w:hAnsi="宋体"/>
                <w:szCs w:val="21"/>
                <w:lang w:val="en-US" w:eastAsia="zh-CN"/>
              </w:rPr>
              <w:t>及第五章“采购需求”规定</w:t>
            </w:r>
            <w:r>
              <w:rPr>
                <w:rFonts w:hint="eastAsia" w:ascii="宋体" w:hAnsi="宋体"/>
                <w:szCs w:val="21"/>
              </w:rPr>
              <w:t>。</w:t>
            </w:r>
          </w:p>
        </w:tc>
      </w:tr>
      <w:tr w14:paraId="57FE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752" w:type="dxa"/>
            <w:vMerge w:val="continue"/>
            <w:noWrap w:val="0"/>
            <w:vAlign w:val="top"/>
          </w:tcPr>
          <w:p w14:paraId="27AF986B">
            <w:pPr>
              <w:spacing w:line="360" w:lineRule="exact"/>
              <w:rPr>
                <w:rFonts w:hint="eastAsia" w:ascii="宋体" w:hAnsi="宋体"/>
                <w:szCs w:val="21"/>
              </w:rPr>
            </w:pPr>
          </w:p>
        </w:tc>
        <w:tc>
          <w:tcPr>
            <w:tcW w:w="917" w:type="dxa"/>
            <w:gridSpan w:val="2"/>
            <w:vMerge w:val="continue"/>
            <w:noWrap w:val="0"/>
            <w:vAlign w:val="top"/>
          </w:tcPr>
          <w:p w14:paraId="348AEA08">
            <w:pPr>
              <w:spacing w:line="360" w:lineRule="exact"/>
              <w:rPr>
                <w:rFonts w:hint="eastAsia" w:ascii="宋体" w:hAnsi="宋体"/>
                <w:szCs w:val="21"/>
              </w:rPr>
            </w:pPr>
          </w:p>
        </w:tc>
        <w:tc>
          <w:tcPr>
            <w:tcW w:w="1533" w:type="dxa"/>
            <w:noWrap w:val="0"/>
            <w:vAlign w:val="center"/>
          </w:tcPr>
          <w:p w14:paraId="1C5CC1D0">
            <w:pPr>
              <w:spacing w:line="360" w:lineRule="exact"/>
              <w:jc w:val="center"/>
              <w:rPr>
                <w:rFonts w:ascii="宋体" w:hAnsi="宋体"/>
                <w:szCs w:val="21"/>
              </w:rPr>
            </w:pPr>
            <w:r>
              <w:rPr>
                <w:rFonts w:hint="eastAsia" w:ascii="宋体" w:hAnsi="宋体"/>
                <w:szCs w:val="21"/>
              </w:rPr>
              <w:t>质量要求</w:t>
            </w:r>
          </w:p>
        </w:tc>
        <w:tc>
          <w:tcPr>
            <w:tcW w:w="5784" w:type="dxa"/>
            <w:noWrap w:val="0"/>
            <w:vAlign w:val="center"/>
          </w:tcPr>
          <w:p w14:paraId="3F1A4892">
            <w:pPr>
              <w:spacing w:line="360" w:lineRule="exact"/>
              <w:rPr>
                <w:rFonts w:hint="eastAsia" w:ascii="宋体" w:hAnsi="宋体"/>
                <w:szCs w:val="21"/>
              </w:rPr>
            </w:pPr>
            <w:r>
              <w:rPr>
                <w:rFonts w:hint="eastAsia" w:ascii="宋体" w:hAnsi="宋体"/>
                <w:szCs w:val="21"/>
              </w:rPr>
              <w:t>符合第一章“采购概况”</w:t>
            </w:r>
            <w:r>
              <w:rPr>
                <w:rFonts w:hint="eastAsia" w:ascii="宋体" w:hAnsi="宋体"/>
                <w:szCs w:val="21"/>
                <w:lang w:val="en-US" w:eastAsia="zh-CN"/>
              </w:rPr>
              <w:t>及第五章“采购需求”规定</w:t>
            </w:r>
            <w:r>
              <w:rPr>
                <w:rFonts w:hint="eastAsia" w:ascii="宋体" w:hAnsi="宋体"/>
                <w:szCs w:val="21"/>
              </w:rPr>
              <w:t>。</w:t>
            </w:r>
          </w:p>
        </w:tc>
      </w:tr>
      <w:tr w14:paraId="2B42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52" w:type="dxa"/>
            <w:vMerge w:val="continue"/>
            <w:noWrap w:val="0"/>
            <w:vAlign w:val="top"/>
          </w:tcPr>
          <w:p w14:paraId="6000FA6D">
            <w:pPr>
              <w:spacing w:line="360" w:lineRule="exact"/>
              <w:rPr>
                <w:rFonts w:hint="eastAsia" w:ascii="宋体" w:hAnsi="宋体"/>
                <w:szCs w:val="21"/>
              </w:rPr>
            </w:pPr>
          </w:p>
        </w:tc>
        <w:tc>
          <w:tcPr>
            <w:tcW w:w="917" w:type="dxa"/>
            <w:gridSpan w:val="2"/>
            <w:vMerge w:val="continue"/>
            <w:noWrap w:val="0"/>
            <w:vAlign w:val="top"/>
          </w:tcPr>
          <w:p w14:paraId="3BC9850F">
            <w:pPr>
              <w:spacing w:line="360" w:lineRule="exact"/>
              <w:rPr>
                <w:rFonts w:hint="eastAsia" w:ascii="宋体" w:hAnsi="宋体"/>
                <w:szCs w:val="21"/>
              </w:rPr>
            </w:pPr>
          </w:p>
        </w:tc>
        <w:tc>
          <w:tcPr>
            <w:tcW w:w="1533" w:type="dxa"/>
            <w:noWrap w:val="0"/>
            <w:vAlign w:val="center"/>
          </w:tcPr>
          <w:p w14:paraId="00E0BA35">
            <w:pPr>
              <w:spacing w:line="360" w:lineRule="exact"/>
              <w:jc w:val="center"/>
              <w:rPr>
                <w:rFonts w:hint="eastAsia" w:ascii="宋体" w:hAnsi="宋体"/>
                <w:szCs w:val="21"/>
              </w:rPr>
            </w:pPr>
            <w:r>
              <w:rPr>
                <w:rFonts w:hint="eastAsia" w:ascii="宋体" w:hAnsi="宋体"/>
                <w:szCs w:val="21"/>
              </w:rPr>
              <w:t>权利义务</w:t>
            </w:r>
          </w:p>
        </w:tc>
        <w:tc>
          <w:tcPr>
            <w:tcW w:w="5784" w:type="dxa"/>
            <w:noWrap w:val="0"/>
            <w:vAlign w:val="center"/>
          </w:tcPr>
          <w:p w14:paraId="554F31A5">
            <w:pPr>
              <w:spacing w:line="360" w:lineRule="exact"/>
              <w:rPr>
                <w:rFonts w:hint="eastAsia" w:ascii="宋体" w:hAnsi="宋体"/>
                <w:szCs w:val="21"/>
              </w:rPr>
            </w:pPr>
            <w:r>
              <w:rPr>
                <w:rFonts w:hint="eastAsia" w:ascii="宋体" w:hAnsi="宋体"/>
                <w:szCs w:val="21"/>
              </w:rPr>
              <w:t>符合第四章“合同条款及格式”规定。</w:t>
            </w:r>
          </w:p>
        </w:tc>
      </w:tr>
      <w:tr w14:paraId="243D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52" w:type="dxa"/>
            <w:vMerge w:val="continue"/>
            <w:noWrap w:val="0"/>
            <w:vAlign w:val="top"/>
          </w:tcPr>
          <w:p w14:paraId="3413907F">
            <w:pPr>
              <w:spacing w:line="360" w:lineRule="exact"/>
              <w:rPr>
                <w:rFonts w:hint="eastAsia" w:ascii="宋体" w:hAnsi="宋体"/>
                <w:szCs w:val="21"/>
              </w:rPr>
            </w:pPr>
          </w:p>
        </w:tc>
        <w:tc>
          <w:tcPr>
            <w:tcW w:w="917" w:type="dxa"/>
            <w:gridSpan w:val="2"/>
            <w:vMerge w:val="continue"/>
            <w:noWrap w:val="0"/>
            <w:vAlign w:val="top"/>
          </w:tcPr>
          <w:p w14:paraId="5D6B09A6">
            <w:pPr>
              <w:spacing w:line="360" w:lineRule="exact"/>
              <w:rPr>
                <w:rFonts w:hint="eastAsia" w:ascii="宋体" w:hAnsi="宋体"/>
                <w:szCs w:val="21"/>
              </w:rPr>
            </w:pPr>
          </w:p>
        </w:tc>
        <w:tc>
          <w:tcPr>
            <w:tcW w:w="1533" w:type="dxa"/>
            <w:noWrap w:val="0"/>
            <w:vAlign w:val="center"/>
          </w:tcPr>
          <w:p w14:paraId="603D6541">
            <w:pPr>
              <w:jc w:val="center"/>
              <w:rPr>
                <w:rFonts w:hint="eastAsia"/>
              </w:rPr>
            </w:pPr>
            <w:r>
              <w:rPr>
                <w:rFonts w:hint="eastAsia"/>
                <w:lang w:val="en-US" w:eastAsia="zh-CN"/>
              </w:rPr>
              <w:t xml:space="preserve"> </w:t>
            </w:r>
            <w:r>
              <w:rPr>
                <w:rFonts w:hint="eastAsia"/>
              </w:rPr>
              <w:t>响应报</w:t>
            </w:r>
            <w:r>
              <w:rPr>
                <w:rFonts w:hint="eastAsia"/>
                <w:lang w:val="en-US" w:eastAsia="zh-CN"/>
              </w:rPr>
              <w:t>价</w:t>
            </w:r>
          </w:p>
        </w:tc>
        <w:tc>
          <w:tcPr>
            <w:tcW w:w="5784" w:type="dxa"/>
            <w:noWrap w:val="0"/>
            <w:vAlign w:val="center"/>
          </w:tcPr>
          <w:p w14:paraId="22591EEF">
            <w:pPr>
              <w:rPr>
                <w:rFonts w:hint="eastAsia" w:eastAsia="宋体"/>
                <w:lang w:eastAsia="zh-CN"/>
              </w:rPr>
            </w:pPr>
            <w:r>
              <w:rPr>
                <w:rFonts w:hint="eastAsia"/>
              </w:rPr>
              <w:t>响应报价不超过响应文件设定的</w:t>
            </w:r>
            <w:r>
              <w:rPr>
                <w:rFonts w:hint="eastAsia"/>
                <w:lang w:val="en-US" w:eastAsia="zh-CN"/>
              </w:rPr>
              <w:t>最高</w:t>
            </w:r>
            <w:r>
              <w:rPr>
                <w:rFonts w:hint="eastAsia"/>
              </w:rPr>
              <w:t>限价</w:t>
            </w:r>
            <w:r>
              <w:rPr>
                <w:rFonts w:hint="eastAsia"/>
                <w:lang w:eastAsia="zh-CN"/>
              </w:rPr>
              <w:t>；</w:t>
            </w:r>
            <w:r>
              <w:rPr>
                <w:rFonts w:hint="eastAsia"/>
                <w:lang w:val="en-US" w:eastAsia="zh-CN"/>
              </w:rPr>
              <w:t>税率</w:t>
            </w:r>
            <w:r>
              <w:rPr>
                <w:rFonts w:hint="eastAsia"/>
                <w:lang w:eastAsia="zh-CN"/>
              </w:rPr>
              <w:t>未按采购文件</w:t>
            </w:r>
            <w:r>
              <w:rPr>
                <w:rFonts w:hint="eastAsia"/>
                <w:lang w:val="en-US" w:eastAsia="zh-CN"/>
              </w:rPr>
              <w:t>要求（若有）</w:t>
            </w:r>
            <w:r>
              <w:rPr>
                <w:rFonts w:hint="eastAsia"/>
                <w:lang w:eastAsia="zh-CN"/>
              </w:rPr>
              <w:t>填报的。</w:t>
            </w:r>
          </w:p>
        </w:tc>
      </w:tr>
      <w:tr w14:paraId="3EEE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2" w:type="dxa"/>
            <w:vMerge w:val="continue"/>
            <w:noWrap w:val="0"/>
            <w:vAlign w:val="top"/>
          </w:tcPr>
          <w:p w14:paraId="111C6164">
            <w:pPr>
              <w:spacing w:line="360" w:lineRule="exact"/>
              <w:rPr>
                <w:rFonts w:hint="eastAsia" w:ascii="宋体" w:hAnsi="宋体"/>
                <w:szCs w:val="21"/>
              </w:rPr>
            </w:pPr>
          </w:p>
        </w:tc>
        <w:tc>
          <w:tcPr>
            <w:tcW w:w="917" w:type="dxa"/>
            <w:gridSpan w:val="2"/>
            <w:vMerge w:val="continue"/>
            <w:noWrap w:val="0"/>
            <w:vAlign w:val="top"/>
          </w:tcPr>
          <w:p w14:paraId="62489E7E">
            <w:pPr>
              <w:spacing w:line="360" w:lineRule="exact"/>
              <w:rPr>
                <w:rFonts w:hint="eastAsia" w:ascii="宋体" w:hAnsi="宋体"/>
                <w:szCs w:val="21"/>
              </w:rPr>
            </w:pPr>
          </w:p>
        </w:tc>
        <w:tc>
          <w:tcPr>
            <w:tcW w:w="1533" w:type="dxa"/>
            <w:noWrap w:val="0"/>
            <w:vAlign w:val="center"/>
          </w:tcPr>
          <w:p w14:paraId="0E4E5310">
            <w:pPr>
              <w:jc w:val="center"/>
              <w:rPr>
                <w:rFonts w:hint="eastAsia"/>
              </w:rPr>
            </w:pPr>
            <w:r>
              <w:rPr>
                <w:rFonts w:hint="eastAsia"/>
              </w:rPr>
              <w:t>其他</w:t>
            </w:r>
          </w:p>
        </w:tc>
        <w:tc>
          <w:tcPr>
            <w:tcW w:w="5784" w:type="dxa"/>
            <w:noWrap w:val="0"/>
            <w:vAlign w:val="top"/>
          </w:tcPr>
          <w:p w14:paraId="31352FF0">
            <w:pPr>
              <w:rPr>
                <w:rFonts w:hint="eastAsia"/>
              </w:rPr>
            </w:pPr>
            <w:r>
              <w:rPr>
                <w:rFonts w:hint="eastAsia"/>
              </w:rPr>
              <w:t>不存在法律、法规、规章规定的其他无效投标情况。</w:t>
            </w:r>
          </w:p>
        </w:tc>
      </w:tr>
      <w:tr w14:paraId="6AAE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669" w:type="dxa"/>
            <w:gridSpan w:val="3"/>
            <w:noWrap w:val="0"/>
            <w:vAlign w:val="center"/>
          </w:tcPr>
          <w:p w14:paraId="0E4A93DE">
            <w:pPr>
              <w:spacing w:line="360" w:lineRule="exact"/>
              <w:jc w:val="center"/>
              <w:rPr>
                <w:rFonts w:hint="eastAsia" w:ascii="宋体" w:hAnsi="宋体"/>
                <w:szCs w:val="21"/>
              </w:rPr>
            </w:pPr>
            <w:r>
              <w:rPr>
                <w:rFonts w:hint="eastAsia" w:ascii="宋体" w:hAnsi="宋体"/>
                <w:szCs w:val="21"/>
              </w:rPr>
              <w:t>3.2</w:t>
            </w:r>
          </w:p>
        </w:tc>
        <w:tc>
          <w:tcPr>
            <w:tcW w:w="1533" w:type="dxa"/>
            <w:noWrap w:val="0"/>
            <w:vAlign w:val="center"/>
          </w:tcPr>
          <w:p w14:paraId="01656F28">
            <w:pPr>
              <w:spacing w:line="360" w:lineRule="exact"/>
              <w:jc w:val="center"/>
              <w:rPr>
                <w:rFonts w:hint="eastAsia" w:ascii="宋体" w:hAnsi="宋体"/>
                <w:color w:val="auto"/>
                <w:szCs w:val="21"/>
              </w:rPr>
            </w:pPr>
            <w:r>
              <w:rPr>
                <w:rFonts w:hint="eastAsia" w:ascii="宋体" w:hAnsi="宋体"/>
                <w:color w:val="auto"/>
                <w:szCs w:val="21"/>
              </w:rPr>
              <w:t>分值构成</w:t>
            </w:r>
          </w:p>
          <w:p w14:paraId="57A6FB74">
            <w:pPr>
              <w:spacing w:line="360" w:lineRule="exact"/>
              <w:jc w:val="center"/>
              <w:rPr>
                <w:rFonts w:hint="eastAsia" w:ascii="宋体" w:hAnsi="宋体"/>
                <w:color w:val="auto"/>
                <w:szCs w:val="21"/>
              </w:rPr>
            </w:pPr>
            <w:r>
              <w:rPr>
                <w:rFonts w:hint="eastAsia" w:ascii="宋体" w:hAnsi="宋体"/>
                <w:color w:val="auto"/>
                <w:szCs w:val="21"/>
              </w:rPr>
              <w:t>(总分100分)</w:t>
            </w:r>
          </w:p>
        </w:tc>
        <w:tc>
          <w:tcPr>
            <w:tcW w:w="5784" w:type="dxa"/>
            <w:noWrap w:val="0"/>
            <w:vAlign w:val="center"/>
          </w:tcPr>
          <w:p w14:paraId="7DDBA4FD">
            <w:pPr>
              <w:spacing w:line="360" w:lineRule="exact"/>
              <w:rPr>
                <w:rFonts w:hint="eastAsia" w:ascii="宋体" w:hAnsi="宋体"/>
                <w:color w:val="auto"/>
                <w:szCs w:val="21"/>
              </w:rPr>
            </w:pPr>
            <w:r>
              <w:rPr>
                <w:rFonts w:hint="eastAsia" w:ascii="宋体" w:hAnsi="宋体"/>
                <w:color w:val="auto"/>
                <w:szCs w:val="21"/>
              </w:rPr>
              <w:t>技术分：</w:t>
            </w:r>
            <w:r>
              <w:rPr>
                <w:rFonts w:hint="eastAsia" w:ascii="宋体" w:hAnsi="宋体"/>
                <w:color w:val="auto"/>
                <w:szCs w:val="21"/>
                <w:u w:val="single"/>
                <w:lang w:val="en-US" w:eastAsia="zh-CN"/>
              </w:rPr>
              <w:t>10</w:t>
            </w:r>
            <w:r>
              <w:rPr>
                <w:rFonts w:hint="eastAsia" w:ascii="宋体" w:hAnsi="宋体"/>
                <w:color w:val="auto"/>
                <w:szCs w:val="21"/>
                <w:u w:val="single"/>
              </w:rPr>
              <w:t xml:space="preserve">分 </w:t>
            </w:r>
          </w:p>
          <w:p w14:paraId="5D49FF95">
            <w:pPr>
              <w:spacing w:line="360" w:lineRule="exact"/>
              <w:rPr>
                <w:rFonts w:hint="eastAsia" w:ascii="宋体" w:hAnsi="宋体"/>
                <w:color w:val="auto"/>
                <w:szCs w:val="21"/>
              </w:rPr>
            </w:pPr>
            <w:r>
              <w:rPr>
                <w:rFonts w:hint="eastAsia" w:ascii="宋体" w:hAnsi="宋体"/>
                <w:color w:val="auto"/>
                <w:szCs w:val="21"/>
              </w:rPr>
              <w:t>商务分：</w:t>
            </w:r>
            <w:r>
              <w:rPr>
                <w:rFonts w:hint="eastAsia" w:ascii="宋体" w:hAnsi="宋体"/>
                <w:color w:val="auto"/>
                <w:szCs w:val="21"/>
                <w:u w:val="single"/>
                <w:lang w:val="en-US" w:eastAsia="zh-CN"/>
              </w:rPr>
              <w:t>90</w:t>
            </w:r>
            <w:r>
              <w:rPr>
                <w:rFonts w:hint="eastAsia" w:ascii="宋体" w:hAnsi="宋体"/>
                <w:color w:val="auto"/>
                <w:szCs w:val="21"/>
              </w:rPr>
              <w:t>分</w:t>
            </w:r>
          </w:p>
        </w:tc>
      </w:tr>
      <w:tr w14:paraId="5294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69" w:type="dxa"/>
            <w:gridSpan w:val="3"/>
            <w:vMerge w:val="restart"/>
            <w:noWrap w:val="0"/>
            <w:vAlign w:val="center"/>
          </w:tcPr>
          <w:p w14:paraId="6844C420">
            <w:pPr>
              <w:spacing w:line="360" w:lineRule="exact"/>
              <w:jc w:val="center"/>
              <w:rPr>
                <w:rFonts w:ascii="宋体" w:hAnsi="宋体"/>
                <w:szCs w:val="21"/>
              </w:rPr>
            </w:pPr>
            <w:r>
              <w:rPr>
                <w:rFonts w:hint="eastAsia" w:ascii="宋体" w:hAnsi="宋体"/>
                <w:szCs w:val="21"/>
              </w:rPr>
              <w:t>3.3</w:t>
            </w:r>
          </w:p>
        </w:tc>
        <w:tc>
          <w:tcPr>
            <w:tcW w:w="1533" w:type="dxa"/>
            <w:noWrap w:val="0"/>
            <w:vAlign w:val="center"/>
          </w:tcPr>
          <w:p w14:paraId="33CDB895">
            <w:pPr>
              <w:spacing w:line="360" w:lineRule="exact"/>
              <w:jc w:val="center"/>
              <w:rPr>
                <w:rFonts w:hint="eastAsia" w:ascii="宋体" w:hAnsi="宋体"/>
                <w:szCs w:val="21"/>
              </w:rPr>
            </w:pPr>
            <w:r>
              <w:rPr>
                <w:rFonts w:hint="eastAsia" w:ascii="宋体" w:hAnsi="宋体"/>
                <w:szCs w:val="21"/>
              </w:rPr>
              <w:t>评标基准价</w:t>
            </w:r>
          </w:p>
          <w:p w14:paraId="2F1B8CFD">
            <w:pPr>
              <w:spacing w:line="360" w:lineRule="exact"/>
              <w:jc w:val="center"/>
              <w:rPr>
                <w:rFonts w:hint="eastAsia" w:ascii="宋体" w:hAnsi="宋体"/>
                <w:szCs w:val="21"/>
              </w:rPr>
            </w:pPr>
            <w:r>
              <w:rPr>
                <w:rFonts w:hint="eastAsia" w:ascii="宋体" w:hAnsi="宋体"/>
                <w:szCs w:val="21"/>
              </w:rPr>
              <w:t>计算方法</w:t>
            </w:r>
          </w:p>
        </w:tc>
        <w:tc>
          <w:tcPr>
            <w:tcW w:w="5784" w:type="dxa"/>
            <w:noWrap w:val="0"/>
            <w:vAlign w:val="top"/>
          </w:tcPr>
          <w:p w14:paraId="5C65B61A">
            <w:pPr>
              <w:adjustRightInd w:val="0"/>
              <w:snapToGrid w:val="0"/>
              <w:spacing w:line="360" w:lineRule="exact"/>
              <w:ind w:firstLine="210" w:firstLineChars="100"/>
              <w:jc w:val="left"/>
              <w:rPr>
                <w:rFonts w:hint="eastAsia"/>
              </w:rPr>
            </w:pPr>
            <w:r>
              <w:rPr>
                <w:rFonts w:hint="eastAsia"/>
              </w:rPr>
              <w:sym w:font="Wingdings 2" w:char="0052"/>
            </w:r>
            <w:r>
              <w:rPr>
                <w:rFonts w:hint="eastAsia"/>
              </w:rPr>
              <w:t>二次平均法</w:t>
            </w:r>
          </w:p>
          <w:p w14:paraId="0A34B415">
            <w:pPr>
              <w:adjustRightInd w:val="0"/>
              <w:snapToGrid w:val="0"/>
              <w:spacing w:line="360" w:lineRule="exact"/>
              <w:ind w:firstLine="210" w:firstLineChars="100"/>
              <w:jc w:val="left"/>
              <w:rPr>
                <w:rFonts w:hint="eastAsia"/>
              </w:rPr>
            </w:pPr>
            <w:r>
              <w:rPr>
                <w:rFonts w:hint="eastAsia"/>
              </w:rPr>
              <w:t>评分范围：</w:t>
            </w:r>
            <w:r>
              <w:rPr>
                <w:rFonts w:hint="eastAsia"/>
                <w:color w:val="auto"/>
                <w:highlight w:val="none"/>
              </w:rPr>
              <w:t>通过符合性审查且响应报价不低于风险警戒值的所有响应文件进入评分范围</w:t>
            </w:r>
            <w:r>
              <w:rPr>
                <w:rFonts w:hint="eastAsia"/>
              </w:rPr>
              <w:t>。</w:t>
            </w:r>
          </w:p>
          <w:p w14:paraId="4CBB0E46">
            <w:pPr>
              <w:adjustRightInd w:val="0"/>
              <w:snapToGrid w:val="0"/>
              <w:spacing w:line="360" w:lineRule="exact"/>
              <w:ind w:firstLine="210" w:firstLineChars="100"/>
              <w:jc w:val="left"/>
              <w:rPr>
                <w:rFonts w:hint="eastAsia"/>
              </w:rPr>
            </w:pPr>
            <w:r>
              <w:rPr>
                <w:rFonts w:hint="eastAsia"/>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32E22E13">
            <w:pPr>
              <w:adjustRightInd w:val="0"/>
              <w:snapToGrid w:val="0"/>
              <w:spacing w:line="360" w:lineRule="exact"/>
              <w:ind w:firstLine="210" w:firstLineChars="100"/>
              <w:jc w:val="left"/>
              <w:rPr>
                <w:rFonts w:hint="eastAsia"/>
              </w:rPr>
            </w:pPr>
            <w:r>
              <w:rPr>
                <w:rFonts w:hint="eastAsia"/>
              </w:rPr>
              <w:t>评标基准价：报价平均值与进入评分范围的响应报价中的次低报价的算术平均值为评标基准价。</w:t>
            </w:r>
          </w:p>
        </w:tc>
      </w:tr>
      <w:tr w14:paraId="56B5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669" w:type="dxa"/>
            <w:gridSpan w:val="3"/>
            <w:vMerge w:val="continue"/>
            <w:noWrap w:val="0"/>
            <w:vAlign w:val="center"/>
          </w:tcPr>
          <w:p w14:paraId="5DD45723">
            <w:pPr>
              <w:spacing w:line="360" w:lineRule="exact"/>
              <w:jc w:val="center"/>
              <w:rPr>
                <w:rFonts w:hint="eastAsia" w:ascii="宋体" w:hAnsi="宋体"/>
                <w:szCs w:val="21"/>
              </w:rPr>
            </w:pPr>
          </w:p>
        </w:tc>
        <w:tc>
          <w:tcPr>
            <w:tcW w:w="1533" w:type="dxa"/>
            <w:noWrap w:val="0"/>
            <w:vAlign w:val="center"/>
          </w:tcPr>
          <w:p w14:paraId="0DEECD9D">
            <w:pPr>
              <w:spacing w:line="360" w:lineRule="exact"/>
              <w:jc w:val="center"/>
              <w:rPr>
                <w:rFonts w:hint="eastAsia" w:ascii="宋体" w:hAnsi="宋体" w:cs="黑体"/>
                <w:color w:val="auto"/>
                <w:kern w:val="2"/>
                <w:sz w:val="21"/>
                <w:szCs w:val="21"/>
                <w:highlight w:val="none"/>
                <w:lang w:val="en-US" w:eastAsia="zh-CN" w:bidi="ar-SA"/>
              </w:rPr>
            </w:pPr>
            <w:r>
              <w:rPr>
                <w:rFonts w:hint="eastAsia" w:ascii="宋体" w:hAnsi="宋体"/>
                <w:b w:val="0"/>
                <w:bCs/>
                <w:color w:val="auto"/>
                <w:szCs w:val="21"/>
                <w:highlight w:val="none"/>
                <w:lang w:val="en-US" w:eastAsia="zh-CN"/>
              </w:rPr>
              <w:t>风险警戒值</w:t>
            </w:r>
          </w:p>
        </w:tc>
        <w:tc>
          <w:tcPr>
            <w:tcW w:w="5784" w:type="dxa"/>
            <w:noWrap w:val="0"/>
            <w:vAlign w:val="top"/>
          </w:tcPr>
          <w:p w14:paraId="5494F4DE">
            <w:pPr>
              <w:adjustRightInd w:val="0"/>
              <w:snapToGrid w:val="0"/>
              <w:spacing w:line="360" w:lineRule="exact"/>
              <w:ind w:firstLine="210" w:firstLineChars="100"/>
              <w:jc w:val="left"/>
              <w:rPr>
                <w:rFonts w:hint="eastAsia" w:eastAsia="宋体" w:cs="黑体"/>
                <w:color w:val="auto"/>
                <w:kern w:val="2"/>
                <w:sz w:val="21"/>
                <w:szCs w:val="22"/>
                <w:highlight w:val="none"/>
                <w:lang w:val="en-US" w:eastAsia="zh-CN" w:bidi="ar-SA"/>
              </w:rPr>
            </w:pPr>
            <w:r>
              <w:rPr>
                <w:rFonts w:hint="eastAsia"/>
                <w:color w:val="auto"/>
                <w:highlight w:val="none"/>
              </w:rPr>
              <w:t>本项目采购风险警戒值为</w:t>
            </w:r>
            <w:r>
              <w:rPr>
                <w:rFonts w:hint="eastAsia"/>
                <w:color w:val="auto"/>
                <w:highlight w:val="none"/>
                <w:lang w:val="en-US" w:eastAsia="zh-CN"/>
              </w:rPr>
              <w:t>290万元</w:t>
            </w:r>
            <w:r>
              <w:rPr>
                <w:rFonts w:hint="eastAsia"/>
                <w:color w:val="auto"/>
                <w:highlight w:val="none"/>
              </w:rPr>
              <w:t>，</w:t>
            </w:r>
            <w:r>
              <w:rPr>
                <w:rFonts w:hint="eastAsia"/>
                <w:color w:val="auto"/>
                <w:highlight w:val="none"/>
                <w:lang w:val="en-US" w:eastAsia="zh-CN"/>
              </w:rPr>
              <w:t>报价</w:t>
            </w:r>
            <w:r>
              <w:rPr>
                <w:rFonts w:hint="eastAsia"/>
                <w:color w:val="auto"/>
                <w:highlight w:val="none"/>
              </w:rPr>
              <w:t>低于</w:t>
            </w:r>
            <w:r>
              <w:rPr>
                <w:rFonts w:hint="eastAsia"/>
                <w:color w:val="auto"/>
                <w:highlight w:val="none"/>
                <w:lang w:val="en-US" w:eastAsia="zh-CN"/>
              </w:rPr>
              <w:t>290万</w:t>
            </w:r>
            <w:r>
              <w:rPr>
                <w:rFonts w:hint="eastAsia"/>
                <w:color w:val="auto"/>
                <w:highlight w:val="none"/>
              </w:rPr>
              <w:t>的</w:t>
            </w:r>
            <w:r>
              <w:rPr>
                <w:rFonts w:hint="eastAsia"/>
                <w:color w:val="auto"/>
                <w:highlight w:val="none"/>
                <w:lang w:eastAsia="zh-CN"/>
              </w:rPr>
              <w:t>，</w:t>
            </w:r>
            <w:r>
              <w:rPr>
                <w:rFonts w:hint="eastAsia"/>
                <w:color w:val="auto"/>
                <w:highlight w:val="none"/>
                <w:lang w:val="en-US" w:eastAsia="zh-CN"/>
              </w:rPr>
              <w:t>合同签订前</w:t>
            </w:r>
            <w:r>
              <w:rPr>
                <w:rFonts w:hint="eastAsia"/>
                <w:color w:val="auto"/>
                <w:highlight w:val="none"/>
              </w:rPr>
              <w:t>需递交差额</w:t>
            </w:r>
            <w:r>
              <w:rPr>
                <w:rFonts w:hint="eastAsia"/>
                <w:color w:val="auto"/>
                <w:highlight w:val="none"/>
                <w:lang w:val="en-US" w:eastAsia="zh-CN"/>
              </w:rPr>
              <w:t>作为</w:t>
            </w:r>
            <w:r>
              <w:rPr>
                <w:rFonts w:hint="eastAsia"/>
                <w:color w:val="auto"/>
                <w:highlight w:val="none"/>
              </w:rPr>
              <w:t>风险保证金</w:t>
            </w:r>
            <w:r>
              <w:rPr>
                <w:rFonts w:hint="eastAsia"/>
                <w:color w:val="auto"/>
                <w:highlight w:val="none"/>
                <w:lang w:eastAsia="zh-CN"/>
              </w:rPr>
              <w:t>（</w:t>
            </w:r>
            <w:r>
              <w:rPr>
                <w:rFonts w:hint="eastAsia"/>
                <w:color w:val="auto"/>
                <w:highlight w:val="none"/>
                <w:lang w:val="en-US" w:eastAsia="zh-CN"/>
              </w:rPr>
              <w:t>差额风险保证金=风险警戒值—响应报价</w:t>
            </w:r>
            <w:r>
              <w:rPr>
                <w:rFonts w:hint="eastAsia"/>
                <w:color w:val="auto"/>
                <w:highlight w:val="none"/>
                <w:lang w:eastAsia="zh-CN"/>
              </w:rPr>
              <w:t>）</w:t>
            </w:r>
            <w:r>
              <w:rPr>
                <w:rFonts w:hint="eastAsia"/>
                <w:color w:val="auto"/>
                <w:highlight w:val="none"/>
              </w:rPr>
              <w:t>。</w:t>
            </w:r>
          </w:p>
        </w:tc>
      </w:tr>
      <w:tr w14:paraId="2CD8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1669" w:type="dxa"/>
            <w:gridSpan w:val="3"/>
            <w:noWrap w:val="0"/>
            <w:vAlign w:val="center"/>
          </w:tcPr>
          <w:p w14:paraId="520A2B88">
            <w:pPr>
              <w:spacing w:line="360" w:lineRule="exact"/>
              <w:jc w:val="center"/>
              <w:rPr>
                <w:rFonts w:hint="eastAsia" w:ascii="宋体" w:hAnsi="宋体"/>
                <w:b/>
                <w:szCs w:val="21"/>
              </w:rPr>
            </w:pPr>
            <w:r>
              <w:rPr>
                <w:rFonts w:hint="eastAsia" w:ascii="宋体" w:hAnsi="宋体"/>
                <w:b/>
                <w:szCs w:val="21"/>
              </w:rPr>
              <w:t>条款号</w:t>
            </w:r>
          </w:p>
        </w:tc>
        <w:tc>
          <w:tcPr>
            <w:tcW w:w="1533" w:type="dxa"/>
            <w:noWrap w:val="0"/>
            <w:vAlign w:val="center"/>
          </w:tcPr>
          <w:p w14:paraId="6FDCEA25">
            <w:pPr>
              <w:spacing w:line="360" w:lineRule="exact"/>
              <w:jc w:val="center"/>
              <w:rPr>
                <w:rFonts w:hint="eastAsia" w:ascii="宋体" w:hAnsi="宋体"/>
                <w:b/>
                <w:color w:val="auto"/>
                <w:szCs w:val="21"/>
              </w:rPr>
            </w:pPr>
            <w:r>
              <w:rPr>
                <w:rFonts w:hint="eastAsia" w:ascii="宋体" w:hAnsi="宋体"/>
                <w:b/>
                <w:color w:val="auto"/>
                <w:szCs w:val="21"/>
              </w:rPr>
              <w:t>评分因素</w:t>
            </w:r>
          </w:p>
        </w:tc>
        <w:tc>
          <w:tcPr>
            <w:tcW w:w="5784" w:type="dxa"/>
            <w:noWrap w:val="0"/>
            <w:vAlign w:val="center"/>
          </w:tcPr>
          <w:p w14:paraId="405868CC">
            <w:pPr>
              <w:spacing w:line="360" w:lineRule="exact"/>
              <w:jc w:val="center"/>
              <w:rPr>
                <w:rFonts w:hint="eastAsia" w:ascii="宋体" w:hAnsi="宋体"/>
                <w:b/>
                <w:color w:val="auto"/>
                <w:szCs w:val="21"/>
              </w:rPr>
            </w:pPr>
            <w:r>
              <w:rPr>
                <w:rFonts w:hint="eastAsia" w:ascii="宋体" w:hAnsi="宋体"/>
                <w:b/>
                <w:color w:val="auto"/>
                <w:szCs w:val="21"/>
              </w:rPr>
              <w:t>评分标准</w:t>
            </w:r>
          </w:p>
        </w:tc>
      </w:tr>
      <w:tr w14:paraId="27E3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757" w:type="dxa"/>
            <w:gridSpan w:val="2"/>
            <w:vMerge w:val="restart"/>
            <w:noWrap w:val="0"/>
            <w:vAlign w:val="center"/>
          </w:tcPr>
          <w:p w14:paraId="78AAA436">
            <w:pPr>
              <w:spacing w:line="360" w:lineRule="exact"/>
              <w:jc w:val="center"/>
            </w:pPr>
            <w:r>
              <w:rPr>
                <w:rFonts w:hint="eastAsia" w:ascii="宋体" w:hAnsi="宋体"/>
                <w:szCs w:val="21"/>
              </w:rPr>
              <w:t>3.4</w:t>
            </w:r>
          </w:p>
          <w:p w14:paraId="13ED0899">
            <w:pPr>
              <w:jc w:val="center"/>
              <w:rPr>
                <w:rFonts w:hint="eastAsia" w:ascii="宋体" w:hAnsi="宋体"/>
                <w:szCs w:val="21"/>
              </w:rPr>
            </w:pPr>
          </w:p>
        </w:tc>
        <w:tc>
          <w:tcPr>
            <w:tcW w:w="912" w:type="dxa"/>
            <w:vMerge w:val="restart"/>
            <w:noWrap w:val="0"/>
            <w:vAlign w:val="center"/>
          </w:tcPr>
          <w:p w14:paraId="0F396DD2">
            <w:pPr>
              <w:jc w:val="center"/>
              <w:rPr>
                <w:rFonts w:hint="eastAsia" w:ascii="宋体" w:hAnsi="宋体"/>
                <w:szCs w:val="21"/>
              </w:rPr>
            </w:pPr>
            <w:r>
              <w:rPr>
                <w:rFonts w:hint="eastAsia" w:ascii="宋体" w:hAnsi="宋体"/>
                <w:szCs w:val="21"/>
              </w:rPr>
              <w:t>技术评分标准</w:t>
            </w:r>
          </w:p>
          <w:p w14:paraId="6D2463A2">
            <w:pPr>
              <w:jc w:val="center"/>
              <w:rPr>
                <w:rFonts w:hint="eastAsia" w:ascii="宋体" w:hAnsi="宋体"/>
                <w:szCs w:val="21"/>
              </w:rPr>
            </w:pPr>
            <w:r>
              <w:rPr>
                <w:rFonts w:hint="eastAsia" w:ascii="宋体" w:hAnsi="宋体"/>
                <w:szCs w:val="21"/>
              </w:rPr>
              <w:t>（0-</w:t>
            </w:r>
            <w:r>
              <w:rPr>
                <w:rFonts w:hint="eastAsia" w:ascii="宋体" w:hAnsi="宋体"/>
                <w:szCs w:val="21"/>
                <w:lang w:val="en-US" w:eastAsia="zh-CN"/>
              </w:rPr>
              <w:t>10</w:t>
            </w:r>
            <w:r>
              <w:rPr>
                <w:rFonts w:hint="eastAsia" w:ascii="宋体" w:hAnsi="宋体"/>
                <w:szCs w:val="21"/>
              </w:rPr>
              <w:t>分）</w:t>
            </w:r>
          </w:p>
        </w:tc>
        <w:tc>
          <w:tcPr>
            <w:tcW w:w="1533" w:type="dxa"/>
            <w:noWrap w:val="0"/>
            <w:vAlign w:val="center"/>
          </w:tcPr>
          <w:p w14:paraId="5F02DEC6">
            <w:pPr>
              <w:keepNext w:val="0"/>
              <w:keepLines w:val="0"/>
              <w:pageBreakBefore w:val="0"/>
              <w:shd w:val="clear" w:color="auto" w:fill="auto"/>
              <w:wordWrap/>
              <w:overflowPunct/>
              <w:topLinePunct w:val="0"/>
              <w:bidi w:val="0"/>
              <w:spacing w:after="0"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类似业绩（2分）</w:t>
            </w:r>
          </w:p>
        </w:tc>
        <w:tc>
          <w:tcPr>
            <w:tcW w:w="5784" w:type="dxa"/>
            <w:noWrap w:val="0"/>
            <w:vAlign w:val="top"/>
          </w:tcPr>
          <w:p w14:paraId="4EFB2655">
            <w:pPr>
              <w:keepNext w:val="0"/>
              <w:keepLines w:val="0"/>
              <w:pageBreakBefore w:val="0"/>
              <w:widowControl/>
              <w:numPr>
                <w:ilvl w:val="0"/>
                <w:numId w:val="0"/>
              </w:numPr>
              <w:shd w:val="clear" w:color="auto" w:fill="auto"/>
              <w:wordWrap/>
              <w:overflowPunct/>
              <w:topLinePunct w:val="0"/>
              <w:bidi w:val="0"/>
              <w:spacing w:after="0" w:line="240" w:lineRule="auto"/>
              <w:ind w:left="0" w:leftChars="0" w:firstLine="0" w:firstLineChars="0"/>
              <w:jc w:val="left"/>
              <w:rPr>
                <w:rFonts w:hint="eastAsia" w:ascii="宋体" w:hAnsi="宋体" w:eastAsia="宋体" w:cs="黑体"/>
                <w:szCs w:val="21"/>
                <w:lang w:val="en-US" w:eastAsia="zh-CN"/>
              </w:rPr>
            </w:pPr>
            <w:r>
              <w:rPr>
                <w:rFonts w:hint="eastAsia" w:ascii="宋体" w:hAnsi="宋体" w:eastAsia="宋体" w:cs="黑体"/>
                <w:szCs w:val="21"/>
                <w:lang w:val="en-US" w:eastAsia="zh-CN"/>
              </w:rPr>
              <w:t>响应人自2024年1月1日（以合同签订时间为准）以来，具有单个合同金额200万元及以上的工程施工项目安全标识牌或警示牌制作和安装类似业绩的，得2分；没有得0分。</w:t>
            </w:r>
          </w:p>
          <w:p w14:paraId="40A6CFBA">
            <w:pPr>
              <w:keepNext w:val="0"/>
              <w:keepLines w:val="0"/>
              <w:pageBreakBefore w:val="0"/>
              <w:widowControl/>
              <w:numPr>
                <w:ilvl w:val="0"/>
                <w:numId w:val="0"/>
              </w:numPr>
              <w:shd w:val="clear" w:color="auto" w:fill="auto"/>
              <w:wordWrap/>
              <w:overflowPunct/>
              <w:topLinePunct w:val="0"/>
              <w:bidi w:val="0"/>
              <w:spacing w:after="0" w:line="240" w:lineRule="auto"/>
              <w:ind w:left="0" w:leftChars="0" w:firstLine="0" w:firstLineChars="0"/>
              <w:jc w:val="left"/>
              <w:rPr>
                <w:rFonts w:hint="default" w:ascii="宋体" w:hAnsi="宋体" w:eastAsia="宋体" w:cs="黑体"/>
                <w:szCs w:val="21"/>
                <w:lang w:val="en-US" w:eastAsia="zh-CN"/>
              </w:rPr>
            </w:pPr>
            <w:r>
              <w:rPr>
                <w:rFonts w:hint="eastAsia" w:ascii="宋体" w:hAnsi="宋体" w:eastAsia="宋体" w:cs="黑体"/>
                <w:szCs w:val="21"/>
                <w:lang w:val="en-US" w:eastAsia="zh-CN"/>
              </w:rPr>
              <w:t>证明材料：合同复印件。如合同中不能体现合同金额等关键信息的，还应提供业主证明等其他证明材料</w:t>
            </w:r>
          </w:p>
        </w:tc>
      </w:tr>
      <w:tr w14:paraId="6FD7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57" w:type="dxa"/>
            <w:gridSpan w:val="2"/>
            <w:vMerge w:val="continue"/>
            <w:noWrap w:val="0"/>
            <w:vAlign w:val="center"/>
          </w:tcPr>
          <w:p w14:paraId="1EF14C34">
            <w:pPr>
              <w:jc w:val="center"/>
              <w:rPr>
                <w:rFonts w:hint="eastAsia" w:ascii="宋体" w:hAnsi="宋体"/>
                <w:szCs w:val="21"/>
              </w:rPr>
            </w:pPr>
          </w:p>
        </w:tc>
        <w:tc>
          <w:tcPr>
            <w:tcW w:w="912" w:type="dxa"/>
            <w:vMerge w:val="continue"/>
            <w:noWrap w:val="0"/>
            <w:vAlign w:val="center"/>
          </w:tcPr>
          <w:p w14:paraId="557374CC">
            <w:pPr>
              <w:jc w:val="center"/>
              <w:rPr>
                <w:rFonts w:hint="eastAsia" w:ascii="宋体" w:hAnsi="宋体"/>
                <w:szCs w:val="21"/>
              </w:rPr>
            </w:pPr>
          </w:p>
        </w:tc>
        <w:tc>
          <w:tcPr>
            <w:tcW w:w="1533" w:type="dxa"/>
            <w:noWrap w:val="0"/>
            <w:vAlign w:val="center"/>
          </w:tcPr>
          <w:p w14:paraId="03FD69D5">
            <w:pPr>
              <w:spacing w:line="240" w:lineRule="auto"/>
              <w:jc w:val="left"/>
              <w:rPr>
                <w:rFonts w:hint="eastAsia" w:ascii="宋体" w:hAnsi="宋体" w:eastAsia="宋体" w:cs="黑体"/>
                <w:szCs w:val="21"/>
                <w:lang w:val="en-US" w:eastAsia="zh-CN"/>
              </w:rPr>
            </w:pPr>
            <w:r>
              <w:rPr>
                <w:rFonts w:hint="eastAsia" w:ascii="宋体" w:hAnsi="宋体" w:eastAsia="宋体" w:cs="黑体"/>
                <w:szCs w:val="21"/>
              </w:rPr>
              <w:t>供货组织及到货保障能力（</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center"/>
          </w:tcPr>
          <w:p w14:paraId="3D4821AB">
            <w:pPr>
              <w:widowControl/>
              <w:numPr>
                <w:ilvl w:val="0"/>
                <w:numId w:val="0"/>
              </w:numPr>
              <w:shd w:val="clear" w:color="auto" w:fill="auto"/>
              <w:spacing w:line="240" w:lineRule="auto"/>
              <w:ind w:left="0" w:leftChars="0" w:firstLine="0" w:firstLineChars="0"/>
              <w:jc w:val="left"/>
              <w:rPr>
                <w:rFonts w:hint="eastAsia" w:ascii="宋体" w:hAnsi="宋体" w:eastAsia="宋体" w:cs="黑体"/>
                <w:szCs w:val="21"/>
                <w:lang w:val="en-US" w:eastAsia="zh-CN"/>
              </w:rPr>
            </w:pPr>
            <w:r>
              <w:rPr>
                <w:rFonts w:hint="eastAsia" w:ascii="宋体" w:hAnsi="宋体" w:eastAsia="宋体" w:cs="黑体"/>
                <w:szCs w:val="21"/>
              </w:rPr>
              <w:t>供货方案详细完整、可落地，备货量充足且有冗余，到货时间精准可控，配送体系完善，无履约风险，</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5E5B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7" w:type="dxa"/>
            <w:gridSpan w:val="2"/>
            <w:vMerge w:val="continue"/>
            <w:noWrap w:val="0"/>
            <w:vAlign w:val="center"/>
          </w:tcPr>
          <w:p w14:paraId="415099F7">
            <w:pPr>
              <w:jc w:val="center"/>
              <w:rPr>
                <w:rFonts w:hint="eastAsia" w:ascii="宋体" w:hAnsi="宋体"/>
                <w:szCs w:val="21"/>
              </w:rPr>
            </w:pPr>
          </w:p>
        </w:tc>
        <w:tc>
          <w:tcPr>
            <w:tcW w:w="912" w:type="dxa"/>
            <w:vMerge w:val="continue"/>
            <w:noWrap w:val="0"/>
            <w:vAlign w:val="center"/>
          </w:tcPr>
          <w:p w14:paraId="2BE6CA48">
            <w:pPr>
              <w:jc w:val="center"/>
              <w:rPr>
                <w:rFonts w:hint="eastAsia" w:ascii="宋体" w:hAnsi="宋体"/>
                <w:szCs w:val="21"/>
              </w:rPr>
            </w:pPr>
          </w:p>
        </w:tc>
        <w:tc>
          <w:tcPr>
            <w:tcW w:w="1533" w:type="dxa"/>
            <w:noWrap w:val="0"/>
            <w:vAlign w:val="center"/>
          </w:tcPr>
          <w:p w14:paraId="5D20D471">
            <w:pPr>
              <w:spacing w:line="240" w:lineRule="auto"/>
              <w:jc w:val="left"/>
              <w:rPr>
                <w:rFonts w:hint="eastAsia" w:ascii="宋体" w:hAnsi="宋体" w:eastAsia="宋体" w:cs="黑体"/>
                <w:szCs w:val="21"/>
              </w:rPr>
            </w:pPr>
            <w:r>
              <w:rPr>
                <w:rFonts w:hint="eastAsia" w:ascii="宋体" w:hAnsi="宋体" w:eastAsia="宋体" w:cs="黑体"/>
                <w:szCs w:val="21"/>
              </w:rPr>
              <w:t>售后服务体系及质保承诺（</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top"/>
          </w:tcPr>
          <w:p w14:paraId="4107680E">
            <w:pPr>
              <w:widowControl/>
              <w:spacing w:after="0" w:line="240" w:lineRule="auto"/>
              <w:jc w:val="left"/>
              <w:rPr>
                <w:rFonts w:hint="eastAsia" w:ascii="宋体" w:hAnsi="宋体" w:eastAsia="宋体" w:cs="黑体"/>
                <w:szCs w:val="21"/>
              </w:rPr>
            </w:pPr>
            <w:r>
              <w:rPr>
                <w:rFonts w:hint="eastAsia" w:ascii="宋体" w:hAnsi="宋体" w:eastAsia="宋体" w:cs="黑体"/>
                <w:szCs w:val="21"/>
              </w:rPr>
              <w:t>售后服务体系健全，质保期限不低于采购要求且更优，服务内容全面</w:t>
            </w:r>
            <w:r>
              <w:rPr>
                <w:rFonts w:hint="eastAsia" w:ascii="宋体" w:hAnsi="宋体" w:eastAsia="宋体" w:cs="黑体"/>
                <w:szCs w:val="21"/>
                <w:lang w:eastAsia="zh-CN"/>
              </w:rPr>
              <w:t>；</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6D25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7" w:type="dxa"/>
            <w:gridSpan w:val="2"/>
            <w:vMerge w:val="continue"/>
            <w:noWrap w:val="0"/>
            <w:vAlign w:val="center"/>
          </w:tcPr>
          <w:p w14:paraId="58A380E1">
            <w:pPr>
              <w:jc w:val="center"/>
              <w:rPr>
                <w:rFonts w:hint="eastAsia" w:ascii="宋体" w:hAnsi="宋体"/>
                <w:szCs w:val="21"/>
              </w:rPr>
            </w:pPr>
          </w:p>
        </w:tc>
        <w:tc>
          <w:tcPr>
            <w:tcW w:w="912" w:type="dxa"/>
            <w:vMerge w:val="continue"/>
            <w:noWrap w:val="0"/>
            <w:vAlign w:val="center"/>
          </w:tcPr>
          <w:p w14:paraId="12B97768">
            <w:pPr>
              <w:jc w:val="center"/>
              <w:rPr>
                <w:rFonts w:hint="eastAsia" w:ascii="宋体" w:hAnsi="宋体"/>
                <w:szCs w:val="21"/>
              </w:rPr>
            </w:pPr>
          </w:p>
        </w:tc>
        <w:tc>
          <w:tcPr>
            <w:tcW w:w="1533" w:type="dxa"/>
            <w:noWrap w:val="0"/>
            <w:vAlign w:val="center"/>
          </w:tcPr>
          <w:p w14:paraId="21091E6B">
            <w:pPr>
              <w:spacing w:line="240" w:lineRule="auto"/>
              <w:jc w:val="left"/>
              <w:rPr>
                <w:rFonts w:hint="eastAsia" w:ascii="宋体" w:hAnsi="宋体" w:eastAsia="宋体" w:cs="黑体"/>
                <w:szCs w:val="21"/>
                <w:lang w:val="en-US" w:eastAsia="zh-CN"/>
              </w:rPr>
            </w:pPr>
          </w:p>
          <w:p w14:paraId="747BF3B6">
            <w:pPr>
              <w:spacing w:line="240" w:lineRule="auto"/>
              <w:jc w:val="left"/>
              <w:rPr>
                <w:rFonts w:hint="eastAsia" w:ascii="宋体" w:hAnsi="宋体" w:eastAsia="宋体" w:cs="黑体"/>
                <w:szCs w:val="21"/>
                <w:lang w:val="en-US" w:eastAsia="zh-CN"/>
              </w:rPr>
            </w:pPr>
            <w:r>
              <w:rPr>
                <w:rFonts w:hint="eastAsia" w:ascii="宋体" w:hAnsi="宋体" w:eastAsia="宋体" w:cs="黑体"/>
                <w:szCs w:val="21"/>
              </w:rPr>
              <w:t>应急响应与紧急供应能力（</w:t>
            </w:r>
            <w:r>
              <w:rPr>
                <w:rFonts w:hint="eastAsia" w:ascii="宋体" w:hAnsi="宋体" w:cs="黑体"/>
                <w:szCs w:val="21"/>
                <w:lang w:val="en-US" w:eastAsia="zh-CN"/>
              </w:rPr>
              <w:t>2</w:t>
            </w:r>
            <w:r>
              <w:rPr>
                <w:rFonts w:hint="eastAsia" w:ascii="宋体" w:hAnsi="宋体" w:eastAsia="宋体" w:cs="黑体"/>
                <w:szCs w:val="21"/>
              </w:rPr>
              <w:t xml:space="preserve"> 分）</w:t>
            </w:r>
          </w:p>
        </w:tc>
        <w:tc>
          <w:tcPr>
            <w:tcW w:w="5784" w:type="dxa"/>
            <w:noWrap w:val="0"/>
            <w:vAlign w:val="top"/>
          </w:tcPr>
          <w:p w14:paraId="78D57063">
            <w:pPr>
              <w:widowControl/>
              <w:spacing w:line="240" w:lineRule="auto"/>
              <w:jc w:val="left"/>
              <w:rPr>
                <w:rFonts w:hint="eastAsia" w:ascii="宋体" w:hAnsi="宋体" w:eastAsia="宋体" w:cs="黑体"/>
                <w:szCs w:val="21"/>
              </w:rPr>
            </w:pPr>
            <w:r>
              <w:rPr>
                <w:rFonts w:hint="eastAsia" w:ascii="宋体" w:hAnsi="宋体" w:eastAsia="宋体" w:cs="黑体"/>
                <w:szCs w:val="21"/>
              </w:rPr>
              <w:t>提供专项应急实施方案，书面承诺12 小时内应急响应，明确迎检应急制安保障；</w:t>
            </w:r>
            <w:r>
              <w:rPr>
                <w:rFonts w:hint="eastAsia" w:ascii="宋体" w:hAnsi="宋体" w:eastAsia="宋体" w:cs="黑体"/>
                <w:szCs w:val="21"/>
                <w:lang w:val="en-US" w:eastAsia="zh-CN"/>
              </w:rPr>
              <w:t>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124A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757" w:type="dxa"/>
            <w:gridSpan w:val="2"/>
            <w:vMerge w:val="continue"/>
            <w:noWrap w:val="0"/>
            <w:vAlign w:val="center"/>
          </w:tcPr>
          <w:p w14:paraId="00798E62">
            <w:pPr>
              <w:jc w:val="center"/>
              <w:rPr>
                <w:rFonts w:hint="eastAsia" w:ascii="宋体" w:hAnsi="宋体"/>
                <w:szCs w:val="21"/>
              </w:rPr>
            </w:pPr>
          </w:p>
        </w:tc>
        <w:tc>
          <w:tcPr>
            <w:tcW w:w="912" w:type="dxa"/>
            <w:vMerge w:val="continue"/>
            <w:noWrap w:val="0"/>
            <w:vAlign w:val="center"/>
          </w:tcPr>
          <w:p w14:paraId="16722E40">
            <w:pPr>
              <w:jc w:val="center"/>
              <w:rPr>
                <w:rFonts w:hint="eastAsia" w:ascii="宋体" w:hAnsi="宋体"/>
                <w:szCs w:val="21"/>
              </w:rPr>
            </w:pPr>
          </w:p>
        </w:tc>
        <w:tc>
          <w:tcPr>
            <w:tcW w:w="1533" w:type="dxa"/>
            <w:noWrap w:val="0"/>
            <w:vAlign w:val="center"/>
          </w:tcPr>
          <w:p w14:paraId="234D4DF5">
            <w:pPr>
              <w:spacing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增值服务</w:t>
            </w:r>
            <w:r>
              <w:rPr>
                <w:rFonts w:hint="eastAsia" w:ascii="宋体" w:hAnsi="宋体" w:cs="黑体"/>
                <w:szCs w:val="21"/>
                <w:lang w:val="en-US" w:eastAsia="zh-CN"/>
              </w:rPr>
              <w:t>（2分）</w:t>
            </w:r>
          </w:p>
        </w:tc>
        <w:tc>
          <w:tcPr>
            <w:tcW w:w="5784" w:type="dxa"/>
            <w:noWrap w:val="0"/>
            <w:vAlign w:val="top"/>
          </w:tcPr>
          <w:p w14:paraId="1D4EF080">
            <w:pPr>
              <w:spacing w:line="240" w:lineRule="auto"/>
              <w:jc w:val="left"/>
              <w:rPr>
                <w:rFonts w:hint="default" w:ascii="宋体" w:hAnsi="宋体" w:eastAsia="宋体" w:cs="黑体"/>
                <w:szCs w:val="21"/>
                <w:lang w:val="en-US" w:eastAsia="zh-CN"/>
              </w:rPr>
            </w:pPr>
            <w:r>
              <w:rPr>
                <w:rFonts w:hint="eastAsia" w:ascii="宋体" w:hAnsi="宋体" w:eastAsia="宋体" w:cs="黑体"/>
                <w:szCs w:val="21"/>
                <w:lang w:val="en-US" w:eastAsia="zh-CN"/>
              </w:rPr>
              <w:t>响应人提供其他增值服务，服务全面、针对性强、可落地执行；优良</w:t>
            </w:r>
            <w:r>
              <w:rPr>
                <w:rFonts w:hint="eastAsia" w:ascii="宋体" w:hAnsi="宋体" w:eastAsia="宋体" w:cs="黑体"/>
                <w:szCs w:val="21"/>
              </w:rPr>
              <w:t xml:space="preserve">得 </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w:t>
            </w:r>
            <w:r>
              <w:rPr>
                <w:rFonts w:hint="eastAsia" w:ascii="宋体" w:hAnsi="宋体" w:cs="黑体"/>
                <w:szCs w:val="21"/>
                <w:lang w:val="en-US" w:eastAsia="zh-CN"/>
              </w:rPr>
              <w:t>2</w:t>
            </w:r>
            <w:r>
              <w:rPr>
                <w:rFonts w:hint="eastAsia" w:ascii="宋体" w:hAnsi="宋体" w:eastAsia="宋体" w:cs="黑体"/>
                <w:szCs w:val="21"/>
              </w:rPr>
              <w:t>分；</w:t>
            </w:r>
            <w:r>
              <w:rPr>
                <w:rFonts w:hint="eastAsia" w:ascii="宋体" w:hAnsi="宋体" w:eastAsia="宋体" w:cs="黑体"/>
                <w:szCs w:val="21"/>
                <w:lang w:val="en-US" w:eastAsia="zh-CN"/>
              </w:rPr>
              <w:t>良好</w:t>
            </w:r>
            <w:r>
              <w:rPr>
                <w:rFonts w:hint="eastAsia" w:ascii="宋体" w:hAnsi="宋体" w:eastAsia="宋体" w:cs="黑体"/>
                <w:szCs w:val="21"/>
              </w:rPr>
              <w:t xml:space="preserve">得 </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cs="黑体"/>
                <w:szCs w:val="21"/>
                <w:lang w:val="en-US" w:eastAsia="zh-CN"/>
              </w:rPr>
              <w:t>1</w:t>
            </w:r>
            <w:r>
              <w:rPr>
                <w:rFonts w:hint="eastAsia" w:ascii="宋体" w:hAnsi="宋体" w:eastAsia="宋体" w:cs="黑体"/>
                <w:szCs w:val="21"/>
                <w:lang w:val="en-US" w:eastAsia="zh-CN"/>
              </w:rPr>
              <w:t>.0</w:t>
            </w:r>
            <w:r>
              <w:rPr>
                <w:rFonts w:hint="eastAsia" w:ascii="宋体" w:hAnsi="宋体" w:eastAsia="宋体" w:cs="黑体"/>
                <w:szCs w:val="21"/>
              </w:rPr>
              <w:t>分；</w:t>
            </w:r>
            <w:r>
              <w:rPr>
                <w:rFonts w:hint="eastAsia" w:ascii="宋体" w:hAnsi="宋体" w:eastAsia="宋体" w:cs="黑体"/>
                <w:szCs w:val="21"/>
                <w:lang w:val="en-US" w:eastAsia="zh-CN"/>
              </w:rPr>
              <w:t>一般</w:t>
            </w:r>
            <w:r>
              <w:rPr>
                <w:rFonts w:hint="eastAsia" w:ascii="宋体" w:hAnsi="宋体" w:eastAsia="宋体" w:cs="黑体"/>
                <w:szCs w:val="21"/>
              </w:rPr>
              <w:t xml:space="preserve">得 0 </w:t>
            </w:r>
            <w:r>
              <w:rPr>
                <w:rFonts w:hint="eastAsia" w:ascii="宋体" w:hAnsi="宋体" w:eastAsia="宋体" w:cs="黑体"/>
                <w:szCs w:val="21"/>
                <w:lang w:val="en-US" w:eastAsia="zh-CN"/>
              </w:rPr>
              <w:t>-</w:t>
            </w:r>
            <w:r>
              <w:rPr>
                <w:rFonts w:hint="eastAsia" w:ascii="宋体" w:hAnsi="宋体" w:cs="黑体"/>
                <w:szCs w:val="21"/>
                <w:lang w:val="en-US" w:eastAsia="zh-CN"/>
              </w:rPr>
              <w:t>0</w:t>
            </w:r>
            <w:r>
              <w:rPr>
                <w:rFonts w:hint="eastAsia" w:ascii="宋体" w:hAnsi="宋体" w:eastAsia="宋体" w:cs="黑体"/>
                <w:szCs w:val="21"/>
                <w:lang w:val="en-US" w:eastAsia="zh-CN"/>
              </w:rPr>
              <w:t>.5</w:t>
            </w:r>
            <w:r>
              <w:rPr>
                <w:rFonts w:hint="eastAsia" w:ascii="宋体" w:hAnsi="宋体" w:eastAsia="宋体" w:cs="黑体"/>
                <w:szCs w:val="21"/>
              </w:rPr>
              <w:t>分。</w:t>
            </w:r>
          </w:p>
        </w:tc>
      </w:tr>
      <w:tr w14:paraId="19A1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52" w:type="dxa"/>
            <w:noWrap w:val="0"/>
            <w:vAlign w:val="center"/>
          </w:tcPr>
          <w:p w14:paraId="49CD19F0">
            <w:pPr>
              <w:spacing w:line="360" w:lineRule="exact"/>
              <w:jc w:val="center"/>
              <w:rPr>
                <w:rFonts w:ascii="宋体" w:hAnsi="宋体"/>
                <w:szCs w:val="21"/>
              </w:rPr>
            </w:pPr>
            <w:r>
              <w:rPr>
                <w:rFonts w:hint="eastAsia" w:ascii="宋体" w:hAnsi="宋体"/>
                <w:szCs w:val="21"/>
              </w:rPr>
              <w:t>3.5</w:t>
            </w:r>
          </w:p>
        </w:tc>
        <w:tc>
          <w:tcPr>
            <w:tcW w:w="917" w:type="dxa"/>
            <w:gridSpan w:val="2"/>
            <w:noWrap w:val="0"/>
            <w:vAlign w:val="center"/>
          </w:tcPr>
          <w:p w14:paraId="12BCAE18">
            <w:pPr>
              <w:spacing w:line="360" w:lineRule="exact"/>
              <w:jc w:val="center"/>
              <w:rPr>
                <w:rFonts w:hint="eastAsia" w:ascii="宋体" w:hAnsi="宋体"/>
                <w:szCs w:val="21"/>
              </w:rPr>
            </w:pPr>
            <w:r>
              <w:rPr>
                <w:rFonts w:hint="eastAsia" w:ascii="宋体" w:hAnsi="宋体"/>
                <w:szCs w:val="21"/>
              </w:rPr>
              <w:t>商务标评分标准</w:t>
            </w:r>
          </w:p>
          <w:p w14:paraId="18E68D7A">
            <w:pPr>
              <w:spacing w:line="360" w:lineRule="exact"/>
              <w:jc w:val="center"/>
              <w:rPr>
                <w:rFonts w:hint="eastAsia" w:ascii="宋体" w:hAnsi="宋体"/>
                <w:szCs w:val="21"/>
              </w:rPr>
            </w:pPr>
            <w:r>
              <w:rPr>
                <w:rFonts w:hint="eastAsia" w:ascii="宋体" w:hAnsi="宋体"/>
                <w:szCs w:val="21"/>
              </w:rPr>
              <w:t>（0-</w:t>
            </w:r>
            <w:r>
              <w:rPr>
                <w:rFonts w:hint="eastAsia" w:ascii="宋体" w:hAnsi="宋体"/>
                <w:szCs w:val="21"/>
                <w:lang w:val="en-US" w:eastAsia="zh-CN"/>
              </w:rPr>
              <w:t>90</w:t>
            </w:r>
            <w:r>
              <w:rPr>
                <w:rFonts w:hint="eastAsia" w:ascii="宋体" w:hAnsi="宋体"/>
                <w:szCs w:val="21"/>
              </w:rPr>
              <w:t>）</w:t>
            </w:r>
          </w:p>
        </w:tc>
        <w:tc>
          <w:tcPr>
            <w:tcW w:w="1533" w:type="dxa"/>
            <w:noWrap w:val="0"/>
            <w:vAlign w:val="center"/>
          </w:tcPr>
          <w:p w14:paraId="4DCAD833">
            <w:pPr>
              <w:spacing w:line="360" w:lineRule="exact"/>
              <w:jc w:val="center"/>
              <w:rPr>
                <w:rFonts w:hint="eastAsia" w:ascii="宋体" w:hAnsi="宋体"/>
                <w:szCs w:val="21"/>
              </w:rPr>
            </w:pPr>
            <w:r>
              <w:rPr>
                <w:rFonts w:hint="eastAsia" w:ascii="宋体" w:hAnsi="宋体"/>
                <w:szCs w:val="21"/>
              </w:rPr>
              <w:t>商务报价</w:t>
            </w:r>
          </w:p>
          <w:p w14:paraId="340AC6B9">
            <w:pPr>
              <w:spacing w:line="360" w:lineRule="exact"/>
              <w:jc w:val="center"/>
              <w:rPr>
                <w:rFonts w:hint="eastAsia" w:ascii="宋体" w:hAnsi="宋体"/>
                <w:szCs w:val="21"/>
              </w:rPr>
            </w:pPr>
            <w:r>
              <w:rPr>
                <w:rFonts w:hint="eastAsia" w:ascii="宋体" w:hAnsi="宋体"/>
                <w:szCs w:val="21"/>
              </w:rPr>
              <w:t>（</w:t>
            </w:r>
            <w:r>
              <w:rPr>
                <w:rFonts w:hint="eastAsia" w:ascii="宋体" w:hAnsi="宋体"/>
                <w:szCs w:val="21"/>
                <w:lang w:val="en-US" w:eastAsia="zh-CN"/>
              </w:rPr>
              <w:t>90</w:t>
            </w:r>
            <w:r>
              <w:rPr>
                <w:rFonts w:hint="eastAsia" w:ascii="宋体" w:hAnsi="宋体"/>
                <w:szCs w:val="21"/>
              </w:rPr>
              <w:t>分）</w:t>
            </w:r>
          </w:p>
        </w:tc>
        <w:tc>
          <w:tcPr>
            <w:tcW w:w="5784" w:type="dxa"/>
            <w:noWrap w:val="0"/>
            <w:vAlign w:val="top"/>
          </w:tcPr>
          <w:p w14:paraId="2AF1AAC4">
            <w:pPr>
              <w:adjustRightInd w:val="0"/>
              <w:snapToGrid w:val="0"/>
              <w:spacing w:line="360" w:lineRule="exact"/>
              <w:jc w:val="left"/>
              <w:rPr>
                <w:rFonts w:hint="eastAsia" w:ascii="宋体" w:hAnsi="宋体"/>
                <w:szCs w:val="21"/>
              </w:rPr>
            </w:pPr>
            <w:r>
              <w:rPr>
                <w:rFonts w:hint="eastAsia" w:ascii="宋体" w:hAnsi="宋体"/>
                <w:szCs w:val="21"/>
              </w:rPr>
              <w:t>以评分基准价为基础，将各供应商的报价与评分基准价比较，计算出偏离基准价的百分数后，再进行计分。计算评分值如下：</w:t>
            </w:r>
          </w:p>
          <w:p w14:paraId="61921810">
            <w:pPr>
              <w:adjustRightInd w:val="0"/>
              <w:snapToGrid w:val="0"/>
              <w:spacing w:line="360" w:lineRule="exact"/>
              <w:jc w:val="left"/>
              <w:rPr>
                <w:rFonts w:hint="eastAsia" w:ascii="宋体" w:hAnsi="宋体"/>
                <w:szCs w:val="21"/>
              </w:rPr>
            </w:pPr>
            <w:r>
              <w:rPr>
                <w:rFonts w:hint="eastAsia" w:ascii="宋体" w:hAnsi="宋体"/>
                <w:szCs w:val="21"/>
              </w:rPr>
              <w:t>a：响应报价等于评分基准价时，商务标得</w:t>
            </w:r>
            <w:r>
              <w:rPr>
                <w:rFonts w:hint="eastAsia" w:ascii="宋体" w:hAnsi="宋体"/>
                <w:szCs w:val="21"/>
                <w:lang w:val="en-US" w:eastAsia="zh-CN"/>
              </w:rPr>
              <w:t>90</w:t>
            </w:r>
            <w:r>
              <w:rPr>
                <w:rFonts w:hint="eastAsia" w:ascii="宋体" w:hAnsi="宋体"/>
                <w:szCs w:val="21"/>
              </w:rPr>
              <w:t>分；</w:t>
            </w:r>
          </w:p>
          <w:p w14:paraId="6B4A44E8">
            <w:pPr>
              <w:adjustRightInd w:val="0"/>
              <w:snapToGrid w:val="0"/>
              <w:spacing w:line="360" w:lineRule="exact"/>
              <w:jc w:val="left"/>
              <w:rPr>
                <w:rFonts w:hint="eastAsia" w:ascii="宋体" w:hAnsi="宋体"/>
                <w:szCs w:val="21"/>
              </w:rPr>
            </w:pPr>
            <w:r>
              <w:rPr>
                <w:rFonts w:hint="eastAsia" w:ascii="宋体" w:hAnsi="宋体"/>
                <w:szCs w:val="21"/>
              </w:rPr>
              <w:t>b：响应报价高于评分基准价时，商务标得分=</w:t>
            </w:r>
            <w:r>
              <w:rPr>
                <w:rFonts w:hint="eastAsia" w:ascii="宋体" w:hAnsi="宋体"/>
                <w:szCs w:val="21"/>
                <w:lang w:val="en-US" w:eastAsia="zh-CN"/>
              </w:rPr>
              <w:t>90</w:t>
            </w:r>
            <w:r>
              <w:rPr>
                <w:rFonts w:hint="eastAsia" w:ascii="宋体" w:hAnsi="宋体"/>
                <w:szCs w:val="21"/>
              </w:rPr>
              <w:t>+（100-响应报价/评分基准价*100）×1；</w:t>
            </w:r>
          </w:p>
          <w:p w14:paraId="7A1C5A59">
            <w:pPr>
              <w:adjustRightInd w:val="0"/>
              <w:snapToGrid w:val="0"/>
              <w:spacing w:line="360" w:lineRule="exact"/>
              <w:jc w:val="left"/>
              <w:rPr>
                <w:rFonts w:hint="eastAsia" w:ascii="宋体" w:hAnsi="宋体"/>
                <w:szCs w:val="21"/>
              </w:rPr>
            </w:pPr>
            <w:r>
              <w:rPr>
                <w:rFonts w:hint="eastAsia" w:ascii="宋体" w:hAnsi="宋体"/>
                <w:szCs w:val="21"/>
              </w:rPr>
              <w:t>c：响应报价低于评分基准价时，商务标得分=</w:t>
            </w:r>
            <w:r>
              <w:rPr>
                <w:rFonts w:hint="eastAsia" w:ascii="宋体" w:hAnsi="宋体"/>
                <w:szCs w:val="21"/>
                <w:lang w:val="en-US" w:eastAsia="zh-CN"/>
              </w:rPr>
              <w:t>90</w:t>
            </w:r>
            <w:r>
              <w:rPr>
                <w:rFonts w:hint="eastAsia" w:ascii="宋体" w:hAnsi="宋体"/>
                <w:szCs w:val="21"/>
              </w:rPr>
              <w:t>-（100-响应报价/评分基准价*100）×0.5。</w:t>
            </w:r>
          </w:p>
          <w:p w14:paraId="06F97C24">
            <w:pPr>
              <w:adjustRightInd w:val="0"/>
              <w:snapToGrid w:val="0"/>
              <w:spacing w:line="360" w:lineRule="exact"/>
              <w:jc w:val="left"/>
              <w:rPr>
                <w:rFonts w:hint="eastAsia" w:ascii="宋体" w:hAnsi="宋体"/>
                <w:b/>
                <w:szCs w:val="21"/>
              </w:rPr>
            </w:pPr>
            <w:r>
              <w:rPr>
                <w:rFonts w:hint="eastAsia" w:ascii="宋体" w:hAnsi="宋体"/>
                <w:szCs w:val="21"/>
              </w:rPr>
              <w:t>计算结果保留两位小数，小数点后第三位进行四舍五入，中间计算过程不予保留。评分不足1个百分点时，使用直线插入法计算。响应文件的商务标评分不足40分的，计为40分。</w:t>
            </w:r>
          </w:p>
        </w:tc>
      </w:tr>
    </w:tbl>
    <w:p w14:paraId="2146CC1D">
      <w:pPr>
        <w:rPr>
          <w:rFonts w:hint="eastAsia" w:ascii="宋体" w:hAnsi="宋体" w:cs="宋体"/>
          <w:b/>
          <w:sz w:val="24"/>
          <w:szCs w:val="24"/>
        </w:rPr>
      </w:pPr>
    </w:p>
    <w:p w14:paraId="6275670A">
      <w:pPr>
        <w:adjustRightInd w:val="0"/>
        <w:spacing w:line="360" w:lineRule="auto"/>
        <w:jc w:val="left"/>
        <w:outlineLvl w:val="1"/>
        <w:rPr>
          <w:rFonts w:ascii="宋体" w:hAnsi="宋体"/>
          <w:b/>
          <w:sz w:val="24"/>
          <w:szCs w:val="24"/>
        </w:rPr>
      </w:pPr>
      <w:bookmarkStart w:id="137" w:name="_Toc8760"/>
      <w:bookmarkStart w:id="138" w:name="_Toc5436"/>
      <w:bookmarkStart w:id="139" w:name="_Toc22596947"/>
      <w:bookmarkStart w:id="140" w:name="_Toc3416"/>
      <w:bookmarkStart w:id="141" w:name="_Toc146569183"/>
      <w:bookmarkStart w:id="142" w:name="_Toc20168"/>
      <w:bookmarkStart w:id="143" w:name="_Toc3692"/>
      <w:bookmarkStart w:id="144" w:name="_Toc18912"/>
      <w:r>
        <w:rPr>
          <w:rFonts w:hint="eastAsia" w:ascii="宋体" w:hAnsi="宋体"/>
          <w:b/>
          <w:sz w:val="24"/>
          <w:szCs w:val="24"/>
        </w:rPr>
        <w:t>1.评审原则</w:t>
      </w:r>
      <w:bookmarkEnd w:id="137"/>
      <w:bookmarkEnd w:id="138"/>
      <w:bookmarkEnd w:id="139"/>
      <w:bookmarkEnd w:id="140"/>
      <w:bookmarkEnd w:id="141"/>
      <w:bookmarkEnd w:id="142"/>
      <w:bookmarkEnd w:id="143"/>
      <w:bookmarkEnd w:id="144"/>
    </w:p>
    <w:p w14:paraId="5F3CE8CB">
      <w:pPr>
        <w:adjustRightInd w:val="0"/>
        <w:spacing w:line="360" w:lineRule="auto"/>
        <w:ind w:firstLine="480" w:firstLineChars="200"/>
        <w:jc w:val="left"/>
        <w:rPr>
          <w:rFonts w:ascii="宋体" w:hAnsi="宋体"/>
          <w:sz w:val="24"/>
          <w:szCs w:val="24"/>
        </w:rPr>
      </w:pPr>
      <w:r>
        <w:rPr>
          <w:rFonts w:hint="eastAsia" w:ascii="宋体" w:hAnsi="宋体"/>
          <w:sz w:val="24"/>
          <w:szCs w:val="24"/>
        </w:rPr>
        <w:t>评审应遵循公平、公正、科学、择优的原则。</w:t>
      </w:r>
    </w:p>
    <w:p w14:paraId="21A00891">
      <w:pPr>
        <w:adjustRightInd w:val="0"/>
        <w:spacing w:line="360" w:lineRule="auto"/>
        <w:jc w:val="left"/>
        <w:outlineLvl w:val="1"/>
        <w:rPr>
          <w:rFonts w:ascii="宋体" w:hAnsi="宋体"/>
          <w:b/>
          <w:sz w:val="24"/>
          <w:szCs w:val="24"/>
        </w:rPr>
      </w:pPr>
      <w:bookmarkStart w:id="145" w:name="_Toc146569184"/>
      <w:bookmarkStart w:id="146" w:name="_Toc22596948"/>
      <w:bookmarkStart w:id="147" w:name="_Toc23564"/>
      <w:bookmarkStart w:id="148" w:name="_Toc28724"/>
      <w:bookmarkStart w:id="149" w:name="_Toc11794"/>
      <w:bookmarkStart w:id="150" w:name="_Toc30962"/>
      <w:bookmarkStart w:id="151" w:name="_Toc30345"/>
      <w:bookmarkStart w:id="152" w:name="_Toc29924"/>
      <w:r>
        <w:rPr>
          <w:rFonts w:hint="eastAsia" w:ascii="宋体" w:hAnsi="宋体"/>
          <w:b/>
          <w:sz w:val="24"/>
          <w:szCs w:val="24"/>
        </w:rPr>
        <w:t>2.评审组织</w:t>
      </w:r>
      <w:bookmarkEnd w:id="145"/>
      <w:bookmarkEnd w:id="146"/>
      <w:bookmarkEnd w:id="147"/>
      <w:bookmarkEnd w:id="148"/>
      <w:bookmarkEnd w:id="149"/>
      <w:bookmarkEnd w:id="150"/>
      <w:bookmarkEnd w:id="151"/>
      <w:bookmarkEnd w:id="152"/>
    </w:p>
    <w:p w14:paraId="20B6FDBD">
      <w:pPr>
        <w:adjustRightInd w:val="0"/>
        <w:spacing w:line="360" w:lineRule="auto"/>
        <w:ind w:firstLine="480" w:firstLineChars="200"/>
        <w:jc w:val="left"/>
        <w:rPr>
          <w:rFonts w:hint="eastAsia" w:ascii="宋体" w:hAnsi="宋体"/>
          <w:sz w:val="24"/>
          <w:szCs w:val="24"/>
        </w:rPr>
      </w:pPr>
      <w:bookmarkStart w:id="153" w:name="_Toc19485"/>
      <w:bookmarkStart w:id="154" w:name="_Toc15372"/>
      <w:bookmarkStart w:id="155" w:name="_Toc146569185"/>
      <w:bookmarkStart w:id="156" w:name="_Toc32730"/>
      <w:bookmarkStart w:id="157" w:name="_Toc22596949"/>
      <w:r>
        <w:rPr>
          <w:rFonts w:hint="eastAsia" w:ascii="宋体" w:hAnsi="宋体"/>
          <w:sz w:val="24"/>
          <w:szCs w:val="24"/>
        </w:rPr>
        <w:t>本次评审采用综合评分法。评审小组对满足采购文件实质性要求的响应文件，按照本章规定的评审标准进行评审打分，并按得分由高到低的顺序推荐成交候选人。</w:t>
      </w:r>
      <w:bookmarkEnd w:id="153"/>
      <w:bookmarkEnd w:id="154"/>
      <w:bookmarkEnd w:id="155"/>
    </w:p>
    <w:p w14:paraId="0DD77C6D">
      <w:pPr>
        <w:adjustRightInd w:val="0"/>
        <w:spacing w:line="360" w:lineRule="auto"/>
        <w:jc w:val="left"/>
        <w:outlineLvl w:val="1"/>
        <w:rPr>
          <w:rFonts w:ascii="宋体" w:hAnsi="宋体"/>
          <w:b/>
          <w:sz w:val="24"/>
          <w:szCs w:val="24"/>
        </w:rPr>
      </w:pPr>
      <w:bookmarkStart w:id="158" w:name="_Toc2057"/>
      <w:bookmarkStart w:id="159" w:name="_Toc29926"/>
      <w:bookmarkStart w:id="160" w:name="_Toc2810"/>
      <w:bookmarkStart w:id="161" w:name="_Toc146569186"/>
      <w:bookmarkStart w:id="162" w:name="_Toc22820"/>
      <w:bookmarkStart w:id="163" w:name="_Toc21370"/>
      <w:r>
        <w:rPr>
          <w:rFonts w:hint="eastAsia" w:ascii="宋体" w:hAnsi="宋体"/>
          <w:b/>
          <w:sz w:val="24"/>
          <w:szCs w:val="24"/>
        </w:rPr>
        <w:t>3.评审程序</w:t>
      </w:r>
      <w:bookmarkEnd w:id="156"/>
      <w:bookmarkEnd w:id="157"/>
      <w:bookmarkEnd w:id="158"/>
      <w:bookmarkEnd w:id="159"/>
      <w:bookmarkEnd w:id="160"/>
      <w:bookmarkEnd w:id="161"/>
      <w:bookmarkEnd w:id="162"/>
      <w:bookmarkEnd w:id="163"/>
    </w:p>
    <w:p w14:paraId="561F59A5">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3.1响应文件资格评审，评审标准见评审（分)办法前附表。未通过实质性评审的响应文件不进入后续评审环节。</w:t>
      </w:r>
    </w:p>
    <w:p w14:paraId="2843BC3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3.2响应文件技术评分，评审标准见评审（分)办法前附表。如某一评审小组成员对某响应单位评分明显高于或低于算术平均值或其他响应单位得分，该评审小组成员应对此评分做出合理解释，否则此项评分不计入资信技术总分。</w:t>
      </w:r>
    </w:p>
    <w:p w14:paraId="26FA8AD2">
      <w:pPr>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3.3响应文件商务评审，评审标准见评审（分)办法前附表。未通过实质性评审的响应文件不进入后续评审环节。</w:t>
      </w:r>
    </w:p>
    <w:p w14:paraId="764BB319">
      <w:pPr>
        <w:pStyle w:val="17"/>
        <w:spacing w:after="0" w:line="360" w:lineRule="auto"/>
        <w:ind w:firstLine="480" w:firstLineChars="200"/>
        <w:jc w:val="left"/>
        <w:rPr>
          <w:rFonts w:hint="eastAsia" w:ascii="宋体" w:hAnsi="宋体" w:cs="宋体"/>
          <w:sz w:val="24"/>
          <w:shd w:val="clear" w:color="auto" w:fill="FFFFFF"/>
          <w:lang w:bidi="ar"/>
        </w:rPr>
      </w:pPr>
      <w:r>
        <w:rPr>
          <w:rFonts w:hint="eastAsia" w:ascii="宋体" w:hAnsi="宋体" w:cs="宋体"/>
          <w:sz w:val="24"/>
          <w:shd w:val="clear" w:color="auto" w:fill="FFFFFF"/>
          <w:lang w:bidi="ar"/>
        </w:rPr>
        <w:t>3.4评审价格的确定</w:t>
      </w:r>
    </w:p>
    <w:p w14:paraId="69DF70C8">
      <w:pPr>
        <w:widowControl/>
        <w:adjustRightInd w:val="0"/>
        <w:spacing w:line="360" w:lineRule="auto"/>
        <w:ind w:firstLine="480" w:firstLineChars="200"/>
        <w:jc w:val="left"/>
        <w:rPr>
          <w:rFonts w:hint="eastAsia" w:ascii="宋体" w:hAnsi="宋体" w:cs="宋体"/>
          <w:kern w:val="0"/>
          <w:sz w:val="24"/>
          <w:szCs w:val="24"/>
          <w:highlight w:val="yellow"/>
          <w:shd w:val="clear" w:color="auto" w:fill="FFFFFF"/>
          <w:lang w:bidi="ar"/>
        </w:rPr>
      </w:pPr>
      <w:r>
        <w:rPr>
          <w:rFonts w:hint="eastAsia" w:ascii="宋体" w:hAnsi="宋体" w:cs="宋体"/>
          <w:kern w:val="0"/>
          <w:sz w:val="24"/>
          <w:szCs w:val="24"/>
          <w:shd w:val="clear" w:color="auto" w:fill="FFFFFF"/>
          <w:lang w:bidi="ar"/>
        </w:rPr>
        <w:t>3.</w:t>
      </w:r>
      <w:r>
        <w:rPr>
          <w:rFonts w:hint="eastAsia" w:ascii="宋体" w:hAnsi="宋体" w:cs="宋体"/>
          <w:kern w:val="0"/>
          <w:sz w:val="24"/>
          <w:szCs w:val="24"/>
          <w:highlight w:val="none"/>
          <w:shd w:val="clear" w:color="auto" w:fill="FFFFFF"/>
          <w:lang w:bidi="ar"/>
        </w:rPr>
        <w:t>4.1评审价格以响应单位含税报价为准，如采购文件允许多种税率，且出现税率不一致，则以未含税价为准。</w:t>
      </w:r>
    </w:p>
    <w:p w14:paraId="176A8D4C">
      <w:pPr>
        <w:widowControl/>
        <w:adjustRightInd w:val="0"/>
        <w:spacing w:line="360" w:lineRule="auto"/>
        <w:ind w:firstLine="480" w:firstLineChars="200"/>
        <w:jc w:val="left"/>
        <w:rPr>
          <w:rFonts w:hint="eastAsia"/>
        </w:rPr>
      </w:pPr>
      <w:r>
        <w:rPr>
          <w:rFonts w:hint="eastAsia" w:ascii="宋体" w:hAnsi="宋体" w:cs="宋体"/>
          <w:kern w:val="0"/>
          <w:sz w:val="24"/>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2731F9D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3.4.3响应报价有算术错误或其他错误的，评审小组按以下原则进行修正，并要求供应商对修正后的价格进行书面澄清确认。</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 xml:space="preserve">拒不澄清确认的，其响应文件将被视为无效： </w:t>
      </w:r>
    </w:p>
    <w:p w14:paraId="5F87B4B0">
      <w:pPr>
        <w:widowControl/>
        <w:numPr>
          <w:ilvl w:val="0"/>
          <w:numId w:val="3"/>
        </w:numPr>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大写金额与小写金额不一致的，以大写金额为准；</w:t>
      </w:r>
    </w:p>
    <w:p w14:paraId="76F982BD">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 xml:space="preserve">总价金额与单价金额不一致的，以单价金额为准，但单价金额小数点有明显错误的除外； </w:t>
      </w:r>
    </w:p>
    <w:p w14:paraId="5B1E03CA">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 xml:space="preserve">报价表中合计报价与分项报价的合价不一致的，以各分项报价的合价累计数为准； </w:t>
      </w:r>
    </w:p>
    <w:p w14:paraId="3FC22351">
      <w:pPr>
        <w:widowControl/>
        <w:numPr>
          <w:ilvl w:val="0"/>
          <w:numId w:val="3"/>
        </w:numPr>
        <w:adjustRightInd w:val="0"/>
        <w:spacing w:line="360" w:lineRule="auto"/>
        <w:ind w:firstLine="480" w:firstLineChars="200"/>
        <w:jc w:val="left"/>
        <w:rPr>
          <w:rFonts w:hint="eastAsia" w:ascii="宋体" w:hAnsi="宋体" w:cs="宋体"/>
          <w:sz w:val="24"/>
          <w:szCs w:val="24"/>
        </w:rPr>
      </w:pPr>
      <w:r>
        <w:rPr>
          <w:rFonts w:hint="eastAsia" w:ascii="宋体" w:hAnsi="宋体" w:cs="宋体"/>
          <w:kern w:val="0"/>
          <w:sz w:val="24"/>
          <w:szCs w:val="24"/>
          <w:shd w:val="clear" w:color="auto" w:fill="FFFFFF"/>
          <w:lang w:bidi="ar"/>
        </w:rPr>
        <w:t>如果分项报价中存在缺漏项，且缺漏项内容不属于实质性偏差的，则视为缺漏项内容的价格已包含在其他分项报价之中；</w:t>
      </w:r>
    </w:p>
    <w:p w14:paraId="73F58847">
      <w:pPr>
        <w:widowControl/>
        <w:numPr>
          <w:ilvl w:val="0"/>
          <w:numId w:val="3"/>
        </w:numPr>
        <w:adjustRightInd w:val="0"/>
        <w:spacing w:line="360" w:lineRule="auto"/>
        <w:ind w:firstLine="480" w:firstLineChars="200"/>
        <w:jc w:val="left"/>
        <w:rPr>
          <w:rFonts w:hint="eastAsia" w:ascii="宋体" w:hAnsi="宋体" w:cs="宋体"/>
          <w:kern w:val="0"/>
          <w:sz w:val="24"/>
          <w:szCs w:val="24"/>
          <w:shd w:val="clear" w:color="auto" w:fill="FFFFFF"/>
          <w:lang w:bidi="ar"/>
        </w:rPr>
      </w:pPr>
      <w:bookmarkStart w:id="164" w:name="_Toc22840"/>
      <w:bookmarkStart w:id="165" w:name="_Toc23458"/>
      <w:bookmarkStart w:id="166" w:name="_Toc32653"/>
      <w:bookmarkStart w:id="167" w:name="_Toc28219"/>
      <w:r>
        <w:rPr>
          <w:rFonts w:hint="eastAsia" w:ascii="宋体" w:hAnsi="宋体" w:cs="宋体"/>
          <w:kern w:val="0"/>
          <w:sz w:val="24"/>
          <w:szCs w:val="24"/>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6A3A3420">
      <w:pPr>
        <w:widowControl/>
        <w:adjustRightInd w:val="0"/>
        <w:spacing w:line="360" w:lineRule="auto"/>
        <w:ind w:firstLine="480" w:firstLineChars="200"/>
        <w:jc w:val="left"/>
        <w:rPr>
          <w:rFonts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3.5报价评分，评审标准见评审（分)办法前附表（得分保留小数2位）；</w:t>
      </w:r>
    </w:p>
    <w:p w14:paraId="322AC7F5">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3.6综合评分和排序</w:t>
      </w:r>
      <w:bookmarkEnd w:id="164"/>
      <w:bookmarkEnd w:id="165"/>
      <w:bookmarkEnd w:id="166"/>
      <w:bookmarkEnd w:id="167"/>
    </w:p>
    <w:p w14:paraId="37F1BD09">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各项得分汇总后为该</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的最终得分。评审小组对</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最终得分进行比较后，按照</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最终得分由高到低的顺序对</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排序。最终得分相等时，以响应报价低的优先；响应报价也相等的，由评审小组讨论确定。</w:t>
      </w:r>
    </w:p>
    <w:p w14:paraId="6F0E63D1">
      <w:pPr>
        <w:adjustRightInd w:val="0"/>
        <w:spacing w:line="360" w:lineRule="auto"/>
        <w:jc w:val="left"/>
        <w:rPr>
          <w:rFonts w:hint="eastAsia" w:ascii="宋体" w:hAnsi="宋体" w:cs="宋体"/>
          <w:b/>
          <w:sz w:val="24"/>
          <w:szCs w:val="24"/>
        </w:rPr>
      </w:pPr>
      <w:r>
        <w:rPr>
          <w:rFonts w:hint="eastAsia" w:ascii="宋体" w:hAnsi="宋体" w:cs="宋体"/>
          <w:b/>
          <w:sz w:val="24"/>
          <w:szCs w:val="24"/>
        </w:rPr>
        <w:t>4.澄清、说明、补正</w:t>
      </w:r>
    </w:p>
    <w:p w14:paraId="181C4A47">
      <w:pPr>
        <w:widowControl/>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48F611E3">
      <w:pPr>
        <w:adjustRightInd w:val="0"/>
        <w:spacing w:line="360" w:lineRule="auto"/>
        <w:jc w:val="left"/>
        <w:rPr>
          <w:rFonts w:hint="eastAsia" w:ascii="宋体" w:hAnsi="宋体" w:cs="宋体"/>
          <w:b/>
          <w:sz w:val="24"/>
          <w:szCs w:val="24"/>
        </w:rPr>
      </w:pPr>
      <w:r>
        <w:rPr>
          <w:rFonts w:hint="eastAsia" w:ascii="宋体" w:hAnsi="宋体" w:cs="宋体"/>
          <w:b/>
          <w:sz w:val="24"/>
          <w:szCs w:val="24"/>
        </w:rPr>
        <w:t>5.评审结果</w:t>
      </w:r>
    </w:p>
    <w:p w14:paraId="562CF9FF">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评审小组按照</w:t>
      </w:r>
      <w:r>
        <w:rPr>
          <w:rFonts w:hint="eastAsia" w:ascii="宋体" w:hAnsi="宋体" w:cs="宋体"/>
          <w:kern w:val="0"/>
          <w:sz w:val="24"/>
          <w:shd w:val="clear" w:color="auto" w:fill="FFFFFF"/>
          <w:lang w:bidi="ar"/>
        </w:rPr>
        <w:t>供应商</w:t>
      </w:r>
      <w:r>
        <w:rPr>
          <w:rFonts w:hint="eastAsia" w:ascii="宋体" w:hAnsi="宋体" w:cs="宋体"/>
          <w:kern w:val="0"/>
          <w:sz w:val="24"/>
          <w:szCs w:val="24"/>
          <w:shd w:val="clear" w:color="auto" w:fill="FFFFFF"/>
          <w:lang w:bidi="ar"/>
        </w:rPr>
        <w:t>排列的优先顺序推荐候选成交供应商。候选成交供应商的数量见第二章“供应商须知”。</w:t>
      </w:r>
    </w:p>
    <w:p w14:paraId="7D7526D1">
      <w:pPr>
        <w:adjustRightInd w:val="0"/>
        <w:spacing w:line="360" w:lineRule="auto"/>
        <w:jc w:val="left"/>
        <w:rPr>
          <w:rFonts w:hint="eastAsia" w:ascii="宋体" w:hAnsi="宋体" w:cs="宋体"/>
          <w:b/>
          <w:sz w:val="24"/>
          <w:szCs w:val="24"/>
        </w:rPr>
      </w:pPr>
      <w:r>
        <w:rPr>
          <w:rFonts w:hint="eastAsia" w:ascii="宋体" w:hAnsi="宋体" w:cs="宋体"/>
          <w:b/>
          <w:sz w:val="24"/>
          <w:szCs w:val="24"/>
        </w:rPr>
        <w:t>6.完成评审报告</w:t>
      </w:r>
    </w:p>
    <w:p w14:paraId="60E74A92">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6.1评审小组应当出具书面评审报告，评审报告由评审小组全体成员签字。</w:t>
      </w:r>
    </w:p>
    <w:p w14:paraId="088809F2">
      <w:pPr>
        <w:widowControl/>
        <w:adjustRightInd w:val="0"/>
        <w:spacing w:line="360" w:lineRule="auto"/>
        <w:ind w:firstLine="480" w:firstLineChars="200"/>
        <w:jc w:val="left"/>
        <w:rPr>
          <w:rFonts w:hint="eastAsia" w:ascii="宋体" w:hAnsi="宋体" w:cs="宋体"/>
          <w:kern w:val="0"/>
          <w:sz w:val="24"/>
          <w:szCs w:val="24"/>
          <w:shd w:val="clear" w:color="auto" w:fill="FFFFFF"/>
          <w:lang w:bidi="ar"/>
        </w:rPr>
      </w:pPr>
      <w:r>
        <w:rPr>
          <w:rFonts w:hint="eastAsia" w:ascii="宋体" w:hAnsi="宋体" w:cs="宋体"/>
          <w:kern w:val="0"/>
          <w:sz w:val="24"/>
          <w:szCs w:val="24"/>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6DD51848">
      <w:pPr>
        <w:adjustRightInd w:val="0"/>
        <w:spacing w:line="360" w:lineRule="auto"/>
        <w:ind w:firstLine="480" w:firstLineChars="200"/>
        <w:rPr>
          <w:rFonts w:ascii="宋体" w:hAnsi="宋体"/>
          <w:sz w:val="24"/>
          <w:szCs w:val="24"/>
        </w:rPr>
      </w:pPr>
      <w:r>
        <w:rPr>
          <w:rFonts w:hint="eastAsia" w:ascii="宋体" w:hAnsi="宋体"/>
          <w:sz w:val="24"/>
          <w:szCs w:val="24"/>
        </w:rPr>
        <w:t>（本页以下空白）</w:t>
      </w:r>
    </w:p>
    <w:p w14:paraId="51E6B97F">
      <w:pPr>
        <w:adjustRightInd w:val="0"/>
        <w:snapToGrid w:val="0"/>
        <w:spacing w:line="440" w:lineRule="exact"/>
        <w:ind w:firstLine="480" w:firstLineChars="200"/>
        <w:rPr>
          <w:rFonts w:ascii="宋体" w:hAnsi="宋体"/>
          <w:sz w:val="24"/>
          <w:szCs w:val="24"/>
        </w:rPr>
      </w:pPr>
    </w:p>
    <w:p w14:paraId="212D8E47">
      <w:pPr>
        <w:pStyle w:val="17"/>
        <w:sectPr>
          <w:headerReference r:id="rId7" w:type="default"/>
          <w:footerReference r:id="rId8" w:type="default"/>
          <w:pgSz w:w="11906" w:h="16838"/>
          <w:pgMar w:top="1843" w:right="1797" w:bottom="1418" w:left="1797" w:header="851" w:footer="567" w:gutter="0"/>
          <w:pgBorders>
            <w:top w:val="none" w:sz="0" w:space="0"/>
            <w:left w:val="none" w:sz="0" w:space="0"/>
            <w:bottom w:val="none" w:sz="0" w:space="0"/>
            <w:right w:val="none" w:sz="0" w:space="0"/>
          </w:pgBorders>
          <w:pgNumType w:fmt="decimal" w:start="1"/>
          <w:cols w:space="720" w:num="1"/>
          <w:docGrid w:type="lines" w:linePitch="312" w:charSpace="0"/>
        </w:sectPr>
      </w:pPr>
    </w:p>
    <w:p w14:paraId="78863C0E">
      <w:pPr>
        <w:pStyle w:val="18"/>
      </w:pPr>
    </w:p>
    <w:bookmarkEnd w:id="126"/>
    <w:bookmarkEnd w:id="127"/>
    <w:bookmarkEnd w:id="128"/>
    <w:bookmarkEnd w:id="129"/>
    <w:bookmarkEnd w:id="130"/>
    <w:bookmarkEnd w:id="131"/>
    <w:bookmarkEnd w:id="136"/>
    <w:p w14:paraId="50914260">
      <w:pPr>
        <w:pStyle w:val="2"/>
        <w:numPr>
          <w:ilvl w:val="0"/>
          <w:numId w:val="4"/>
        </w:numPr>
        <w:bidi w:val="0"/>
        <w:jc w:val="center"/>
        <w:rPr>
          <w:rFonts w:hint="eastAsia"/>
          <w:color w:val="auto"/>
          <w:highlight w:val="none"/>
        </w:rPr>
      </w:pPr>
      <w:bookmarkStart w:id="168" w:name="_Toc30283850"/>
      <w:bookmarkStart w:id="169" w:name="_Toc11854440"/>
      <w:bookmarkStart w:id="170" w:name="_Toc26623"/>
      <w:bookmarkStart w:id="171" w:name="_Toc31933"/>
      <w:bookmarkStart w:id="172" w:name="_Toc21927"/>
      <w:bookmarkStart w:id="173" w:name="_Toc10468"/>
      <w:bookmarkStart w:id="174" w:name="_Toc22629"/>
      <w:bookmarkStart w:id="175" w:name="_Toc346279692"/>
      <w:bookmarkStart w:id="176" w:name="_Toc299370182"/>
      <w:bookmarkStart w:id="177" w:name="_Toc420520161"/>
      <w:bookmarkStart w:id="178" w:name="_Toc152042557"/>
      <w:bookmarkStart w:id="179" w:name="_Toc152045775"/>
      <w:bookmarkStart w:id="180" w:name="_Toc144974837"/>
      <w:r>
        <w:rPr>
          <w:rFonts w:hint="eastAsia"/>
          <w:color w:val="auto"/>
          <w:highlight w:val="none"/>
        </w:rPr>
        <w:t>合同主要条款及格式</w:t>
      </w:r>
      <w:bookmarkEnd w:id="168"/>
      <w:bookmarkEnd w:id="169"/>
      <w:bookmarkEnd w:id="170"/>
      <w:bookmarkEnd w:id="171"/>
      <w:bookmarkEnd w:id="172"/>
      <w:bookmarkEnd w:id="173"/>
      <w:bookmarkEnd w:id="174"/>
    </w:p>
    <w:p w14:paraId="73B221E9">
      <w:pPr>
        <w:pStyle w:val="465"/>
        <w:adjustRightInd/>
        <w:snapToGrid w:val="0"/>
        <w:spacing w:line="360" w:lineRule="auto"/>
        <w:contextualSpacing/>
        <w:jc w:val="center"/>
        <w:outlineLvl w:val="0"/>
        <w:rPr>
          <w:rFonts w:hint="eastAsia" w:ascii="Times New Roman" w:hAnsi="Times New Roman" w:eastAsia="华文中宋" w:cs="Times New Roman"/>
          <w:b/>
          <w:color w:val="auto"/>
          <w:sz w:val="36"/>
          <w:szCs w:val="36"/>
          <w:highlight w:val="none"/>
          <w:u w:val="single"/>
        </w:rPr>
      </w:pPr>
      <w:bookmarkStart w:id="181" w:name="_Toc14755"/>
      <w:bookmarkStart w:id="182" w:name="_Toc3768"/>
      <w:bookmarkStart w:id="183" w:name="_Toc2572"/>
      <w:bookmarkStart w:id="184" w:name="_Toc12950"/>
      <w:bookmarkStart w:id="185" w:name="_Toc423678575"/>
      <w:bookmarkStart w:id="186" w:name="_Toc31628"/>
      <w:bookmarkStart w:id="187" w:name="_Toc526775082"/>
      <w:bookmarkStart w:id="188" w:name="_Toc67915963"/>
      <w:bookmarkStart w:id="189" w:name="_Toc26795"/>
      <w:bookmarkStart w:id="190" w:name="_Toc67914932"/>
      <w:r>
        <w:rPr>
          <w:rFonts w:hint="eastAsia" w:ascii="Times New Roman" w:hAnsi="Times New Roman" w:eastAsia="华文中宋" w:cs="Times New Roman"/>
          <w:b/>
          <w:color w:val="auto"/>
          <w:sz w:val="36"/>
          <w:szCs w:val="36"/>
          <w:highlight w:val="none"/>
          <w:u w:val="single"/>
        </w:rPr>
        <w:t>浙江钱塘江水利建筑工程有限公司青田分公司</w:t>
      </w:r>
      <w:bookmarkEnd w:id="181"/>
      <w:bookmarkEnd w:id="182"/>
      <w:bookmarkEnd w:id="183"/>
    </w:p>
    <w:p w14:paraId="3A1CB938">
      <w:pPr>
        <w:pStyle w:val="465"/>
        <w:adjustRightInd/>
        <w:snapToGrid w:val="0"/>
        <w:spacing w:line="360" w:lineRule="auto"/>
        <w:contextualSpacing/>
        <w:jc w:val="center"/>
        <w:outlineLvl w:val="0"/>
        <w:rPr>
          <w:rFonts w:hint="eastAsia" w:ascii="Times New Roman" w:hAnsi="Times New Roman" w:eastAsia="华文中宋" w:cs="Times New Roman"/>
          <w:color w:val="auto"/>
          <w:sz w:val="36"/>
          <w:szCs w:val="36"/>
          <w:highlight w:val="none"/>
          <w:u w:val="single"/>
          <w:lang w:val="en-US" w:eastAsia="zh-CN"/>
        </w:rPr>
      </w:pPr>
      <w:bookmarkStart w:id="191" w:name="_Toc18388"/>
      <w:bookmarkStart w:id="192" w:name="_Toc18711"/>
      <w:bookmarkStart w:id="193" w:name="_Toc16017"/>
      <w:r>
        <w:rPr>
          <w:rFonts w:hint="eastAsia" w:ascii="Times New Roman" w:hAnsi="Times New Roman" w:eastAsia="华文中宋" w:cs="Times New Roman"/>
          <w:b/>
          <w:color w:val="auto"/>
          <w:sz w:val="36"/>
          <w:szCs w:val="36"/>
          <w:highlight w:val="none"/>
          <w:u w:val="none"/>
          <w:lang w:eastAsia="zh-CN"/>
        </w:rPr>
        <w:t>浙江青田抽水蓄能电站项目筹建期工程设计-采购-施工总承包（EPC）</w:t>
      </w:r>
      <w:r>
        <w:rPr>
          <w:rFonts w:hint="eastAsia" w:ascii="Times New Roman" w:hAnsi="Times New Roman" w:eastAsia="华文中宋" w:cs="Times New Roman"/>
          <w:b/>
          <w:color w:val="auto"/>
          <w:sz w:val="36"/>
          <w:szCs w:val="36"/>
          <w:highlight w:val="none"/>
          <w:lang w:val="en-US" w:eastAsia="zh-CN"/>
        </w:rPr>
        <w:t>安全文明设施采购</w:t>
      </w:r>
      <w:r>
        <w:rPr>
          <w:rFonts w:ascii="Times New Roman" w:hAnsi="Times New Roman" w:eastAsia="华文中宋" w:cs="Times New Roman"/>
          <w:b/>
          <w:color w:val="auto"/>
          <w:sz w:val="36"/>
          <w:szCs w:val="36"/>
          <w:highlight w:val="none"/>
        </w:rPr>
        <w:t>合同</w:t>
      </w:r>
      <w:bookmarkEnd w:id="184"/>
      <w:bookmarkEnd w:id="185"/>
      <w:bookmarkEnd w:id="191"/>
      <w:bookmarkEnd w:id="192"/>
      <w:bookmarkEnd w:id="193"/>
    </w:p>
    <w:p w14:paraId="0027FB62">
      <w:pPr>
        <w:spacing w:line="360" w:lineRule="auto"/>
        <w:ind w:right="560" w:firstLine="5102" w:firstLineChars="2126"/>
        <w:contextualSpacing/>
        <w:rPr>
          <w:b/>
          <w:color w:val="auto"/>
          <w:kern w:val="0"/>
          <w:sz w:val="24"/>
          <w:highlight w:val="none"/>
        </w:rPr>
      </w:pPr>
      <w:r>
        <w:rPr>
          <w:color w:val="auto"/>
          <w:sz w:val="24"/>
          <w:highlight w:val="none"/>
        </w:rPr>
        <w:t>合同编号：</w:t>
      </w:r>
    </w:p>
    <w:p w14:paraId="58AD3D4D">
      <w:pPr>
        <w:spacing w:line="360" w:lineRule="auto"/>
        <w:contextualSpacing/>
        <w:rPr>
          <w:color w:val="auto"/>
          <w:sz w:val="24"/>
          <w:highlight w:val="none"/>
        </w:rPr>
      </w:pPr>
    </w:p>
    <w:p w14:paraId="4D86D6CC">
      <w:pPr>
        <w:spacing w:line="360" w:lineRule="auto"/>
        <w:contextualSpacing/>
        <w:rPr>
          <w:color w:val="auto"/>
          <w:sz w:val="24"/>
          <w:highlight w:val="none"/>
        </w:rPr>
      </w:pPr>
    </w:p>
    <w:p w14:paraId="5199B600">
      <w:pPr>
        <w:spacing w:line="360" w:lineRule="auto"/>
        <w:contextualSpacing/>
        <w:rPr>
          <w:color w:val="auto"/>
          <w:kern w:val="0"/>
          <w:sz w:val="24"/>
          <w:highlight w:val="none"/>
        </w:rPr>
      </w:pPr>
      <w:r>
        <w:rPr>
          <w:rFonts w:hint="eastAsia"/>
          <w:color w:val="auto"/>
          <w:kern w:val="0"/>
          <w:sz w:val="24"/>
          <w:highlight w:val="none"/>
          <w:lang w:val="en-US" w:eastAsia="zh-CN"/>
        </w:rPr>
        <w:t>采购</w:t>
      </w:r>
      <w:r>
        <w:rPr>
          <w:color w:val="auto"/>
          <w:kern w:val="0"/>
          <w:sz w:val="24"/>
          <w:highlight w:val="none"/>
        </w:rPr>
        <w:t xml:space="preserve">方     名  称： </w:t>
      </w:r>
      <w:r>
        <w:rPr>
          <w:rFonts w:hint="eastAsia"/>
          <w:color w:val="auto"/>
          <w:kern w:val="0"/>
          <w:sz w:val="24"/>
          <w:highlight w:val="none"/>
        </w:rPr>
        <w:t xml:space="preserve">                                                  </w:t>
      </w:r>
    </w:p>
    <w:p w14:paraId="6F48D0CF">
      <w:pPr>
        <w:tabs>
          <w:tab w:val="left" w:pos="2865"/>
        </w:tabs>
        <w:spacing w:line="360" w:lineRule="auto"/>
        <w:contextualSpacing/>
        <w:rPr>
          <w:color w:val="auto"/>
          <w:kern w:val="0"/>
          <w:sz w:val="24"/>
          <w:highlight w:val="none"/>
        </w:rPr>
      </w:pPr>
      <w:r>
        <w:rPr>
          <w:color w:val="auto"/>
          <w:kern w:val="0"/>
          <w:sz w:val="24"/>
          <w:highlight w:val="none"/>
        </w:rPr>
        <w:t xml:space="preserve">           地  址：</w:t>
      </w:r>
      <w:r>
        <w:rPr>
          <w:rFonts w:hint="eastAsia"/>
          <w:color w:val="auto"/>
          <w:kern w:val="0"/>
          <w:sz w:val="24"/>
          <w:highlight w:val="none"/>
        </w:rPr>
        <w:t xml:space="preserve">                                                     </w:t>
      </w:r>
      <w:r>
        <w:rPr>
          <w:color w:val="auto"/>
          <w:kern w:val="0"/>
          <w:sz w:val="24"/>
          <w:highlight w:val="none"/>
        </w:rPr>
        <w:t xml:space="preserve"> </w:t>
      </w:r>
    </w:p>
    <w:p w14:paraId="20656D28">
      <w:pPr>
        <w:spacing w:line="360" w:lineRule="auto"/>
        <w:contextualSpacing/>
        <w:rPr>
          <w:color w:val="auto"/>
          <w:kern w:val="0"/>
          <w:sz w:val="24"/>
          <w:highlight w:val="none"/>
        </w:rPr>
      </w:pPr>
      <w:r>
        <w:rPr>
          <w:color w:val="auto"/>
          <w:kern w:val="0"/>
          <w:sz w:val="24"/>
          <w:highlight w:val="none"/>
        </w:rPr>
        <w:t xml:space="preserve">           联系人：</w:t>
      </w:r>
      <w:r>
        <w:rPr>
          <w:rFonts w:hint="eastAsia"/>
          <w:color w:val="auto"/>
          <w:kern w:val="0"/>
          <w:sz w:val="24"/>
          <w:highlight w:val="none"/>
        </w:rPr>
        <w:t xml:space="preserve">                                                   </w:t>
      </w:r>
      <w:r>
        <w:rPr>
          <w:color w:val="auto"/>
          <w:kern w:val="0"/>
          <w:sz w:val="24"/>
          <w:highlight w:val="none"/>
        </w:rPr>
        <w:t xml:space="preserve"> </w:t>
      </w:r>
    </w:p>
    <w:p w14:paraId="10A2CA10">
      <w:pPr>
        <w:spacing w:line="360" w:lineRule="auto"/>
        <w:contextualSpacing/>
        <w:rPr>
          <w:color w:val="auto"/>
          <w:kern w:val="0"/>
          <w:sz w:val="24"/>
          <w:highlight w:val="none"/>
        </w:rPr>
      </w:pPr>
      <w:r>
        <w:rPr>
          <w:color w:val="auto"/>
          <w:kern w:val="0"/>
          <w:sz w:val="24"/>
          <w:highlight w:val="none"/>
        </w:rPr>
        <w:t xml:space="preserve">           电  话：</w:t>
      </w:r>
      <w:r>
        <w:rPr>
          <w:rFonts w:hint="eastAsia"/>
          <w:color w:val="auto"/>
          <w:kern w:val="0"/>
          <w:sz w:val="24"/>
          <w:highlight w:val="none"/>
        </w:rPr>
        <w:t xml:space="preserve">                                                   </w:t>
      </w:r>
      <w:r>
        <w:rPr>
          <w:color w:val="auto"/>
          <w:kern w:val="0"/>
          <w:sz w:val="24"/>
          <w:highlight w:val="none"/>
        </w:rPr>
        <w:t xml:space="preserve"> </w:t>
      </w:r>
    </w:p>
    <w:p w14:paraId="6C372AE3">
      <w:pPr>
        <w:tabs>
          <w:tab w:val="left" w:pos="2865"/>
        </w:tabs>
        <w:spacing w:line="360" w:lineRule="auto"/>
        <w:contextualSpacing/>
        <w:rPr>
          <w:color w:val="auto"/>
          <w:kern w:val="0"/>
          <w:sz w:val="24"/>
          <w:highlight w:val="none"/>
        </w:rPr>
      </w:pPr>
    </w:p>
    <w:p w14:paraId="6A56BB9A">
      <w:pPr>
        <w:tabs>
          <w:tab w:val="left" w:pos="2865"/>
        </w:tabs>
        <w:spacing w:line="360" w:lineRule="auto"/>
        <w:contextualSpacing/>
        <w:rPr>
          <w:color w:val="auto"/>
          <w:kern w:val="0"/>
          <w:sz w:val="24"/>
          <w:highlight w:val="none"/>
        </w:rPr>
      </w:pPr>
    </w:p>
    <w:p w14:paraId="29B60074">
      <w:pPr>
        <w:pStyle w:val="465"/>
        <w:spacing w:line="360" w:lineRule="auto"/>
        <w:contextualSpacing/>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供货</w:t>
      </w:r>
      <w:r>
        <w:rPr>
          <w:rFonts w:ascii="Times New Roman" w:hAnsi="Times New Roman" w:eastAsia="宋体" w:cs="Times New Roman"/>
          <w:color w:val="auto"/>
          <w:highlight w:val="none"/>
        </w:rPr>
        <w:t>方     名  称：</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138EE727">
      <w:pPr>
        <w:pStyle w:val="465"/>
        <w:spacing w:line="360" w:lineRule="auto"/>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           地  址：</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3EE1E870">
      <w:pPr>
        <w:pStyle w:val="465"/>
        <w:spacing w:line="360" w:lineRule="auto"/>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           联系人：</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r>
        <w:rPr>
          <w:rFonts w:ascii="Times New Roman" w:hAnsi="Times New Roman" w:eastAsia="宋体" w:cs="Times New Roman"/>
          <w:color w:val="auto"/>
          <w:highlight w:val="none"/>
        </w:rPr>
        <w:t xml:space="preserve"> </w:t>
      </w:r>
    </w:p>
    <w:p w14:paraId="7DF7F8CE">
      <w:pPr>
        <w:pStyle w:val="465"/>
        <w:spacing w:line="360" w:lineRule="auto"/>
        <w:ind w:firstLine="1320" w:firstLineChars="550"/>
        <w:contextualSpacing/>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  话：</w:t>
      </w:r>
      <w:r>
        <w:rPr>
          <w:rFonts w:hint="eastAsia" w:ascii="Times New Roman" w:hAnsi="Times New Roman" w:eastAsia="宋体" w:cs="Times New Roman"/>
          <w:color w:val="auto"/>
          <w:highlight w:val="none"/>
          <w:lang w:val="en-US" w:eastAsia="zh-CN"/>
        </w:rPr>
        <w:t xml:space="preserve"> </w:t>
      </w:r>
      <w:r>
        <w:rPr>
          <w:rFonts w:hint="eastAsia" w:ascii="Times New Roman" w:hAnsi="Times New Roman" w:eastAsia="宋体" w:cs="Times New Roman"/>
          <w:color w:val="auto"/>
          <w:highlight w:val="none"/>
        </w:rPr>
        <w:t xml:space="preserve">                             </w:t>
      </w:r>
    </w:p>
    <w:p w14:paraId="7F950892">
      <w:pPr>
        <w:pStyle w:val="465"/>
        <w:spacing w:line="360" w:lineRule="auto"/>
        <w:ind w:firstLine="1320" w:firstLineChars="550"/>
        <w:contextualSpacing/>
        <w:rPr>
          <w:rFonts w:ascii="Times New Roman" w:hAnsi="Times New Roman" w:eastAsia="宋体" w:cs="Times New Roman"/>
          <w:color w:val="auto"/>
          <w:highlight w:val="none"/>
        </w:rPr>
      </w:pPr>
    </w:p>
    <w:p w14:paraId="4199401A">
      <w:pPr>
        <w:pStyle w:val="465"/>
        <w:spacing w:line="360" w:lineRule="auto"/>
        <w:contextualSpacing/>
        <w:rPr>
          <w:rFonts w:ascii="Times New Roman" w:hAnsi="Times New Roman" w:eastAsia="宋体" w:cs="Times New Roman"/>
          <w:color w:val="auto"/>
          <w:highlight w:val="none"/>
        </w:rPr>
      </w:pPr>
    </w:p>
    <w:p w14:paraId="3B4AFFFF">
      <w:pPr>
        <w:pStyle w:val="465"/>
        <w:spacing w:line="360" w:lineRule="auto"/>
        <w:contextualSpacing/>
        <w:rPr>
          <w:rFonts w:ascii="Times New Roman" w:hAnsi="Times New Roman" w:eastAsia="宋体" w:cs="Times New Roman"/>
          <w:color w:val="auto"/>
          <w:highlight w:val="none"/>
        </w:rPr>
      </w:pPr>
    </w:p>
    <w:p w14:paraId="19388BEE">
      <w:pPr>
        <w:pStyle w:val="465"/>
        <w:spacing w:line="360" w:lineRule="auto"/>
        <w:contextualSpacing/>
        <w:rPr>
          <w:rFonts w:ascii="Times New Roman" w:hAnsi="Times New Roman" w:eastAsia="宋体" w:cs="Times New Roman"/>
          <w:color w:val="auto"/>
          <w:highlight w:val="none"/>
        </w:rPr>
      </w:pPr>
    </w:p>
    <w:p w14:paraId="78044D33">
      <w:pPr>
        <w:pStyle w:val="465"/>
        <w:spacing w:line="360" w:lineRule="auto"/>
        <w:contextualSpacing/>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签订时间：</w:t>
      </w:r>
      <w:r>
        <w:rPr>
          <w:rFonts w:hint="eastAsia" w:ascii="Times New Roman" w:hAnsi="Times New Roman" w:eastAsia="宋体" w:cs="Times New Roman"/>
          <w:color w:val="auto"/>
          <w:highlight w:val="none"/>
          <w:lang w:val="en-US" w:eastAsia="zh-CN"/>
        </w:rPr>
        <w:t>2026</w:t>
      </w:r>
      <w:r>
        <w:rPr>
          <w:rFonts w:ascii="Times New Roman" w:hAnsi="Times New Roman" w:eastAsia="宋体" w:cs="Times New Roman"/>
          <w:color w:val="auto"/>
          <w:highlight w:val="none"/>
        </w:rPr>
        <w:t>年    月     日</w:t>
      </w:r>
    </w:p>
    <w:p w14:paraId="77FFA96D">
      <w:pPr>
        <w:pStyle w:val="465"/>
        <w:spacing w:line="360" w:lineRule="auto"/>
        <w:ind w:firstLine="2400" w:firstLineChars="1000"/>
        <w:contextualSpacing/>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签订地点：</w:t>
      </w:r>
      <w:r>
        <w:rPr>
          <w:rFonts w:hint="eastAsia" w:ascii="Times New Roman" w:hAnsi="Times New Roman" w:eastAsia="宋体" w:cs="Times New Roman"/>
          <w:color w:val="auto"/>
          <w:highlight w:val="none"/>
          <w:lang w:val="en-US" w:eastAsia="zh-CN"/>
        </w:rPr>
        <w:t>浙江省青田县巨浦乡</w:t>
      </w:r>
    </w:p>
    <w:p w14:paraId="0B9F67C8">
      <w:pPr>
        <w:spacing w:line="360" w:lineRule="auto"/>
        <w:contextualSpacing/>
        <w:textAlignment w:val="baseline"/>
        <w:rPr>
          <w:b/>
          <w:color w:val="auto"/>
          <w:sz w:val="24"/>
          <w:highlight w:val="none"/>
        </w:rPr>
      </w:pPr>
    </w:p>
    <w:p w14:paraId="60D2B128">
      <w:pPr>
        <w:pStyle w:val="17"/>
        <w:rPr>
          <w:color w:val="auto"/>
          <w:highlight w:val="none"/>
        </w:rPr>
      </w:pPr>
    </w:p>
    <w:p w14:paraId="34016491">
      <w:pPr>
        <w:pStyle w:val="17"/>
        <w:rPr>
          <w:color w:val="auto"/>
          <w:highlight w:val="none"/>
        </w:rPr>
      </w:pPr>
    </w:p>
    <w:p w14:paraId="2F167AED">
      <w:pPr>
        <w:spacing w:line="360" w:lineRule="auto"/>
        <w:contextualSpacing/>
        <w:jc w:val="center"/>
        <w:textAlignment w:val="baseline"/>
        <w:rPr>
          <w:rFonts w:hint="eastAsia" w:ascii="Times New Roman" w:hAnsi="Times New Roman" w:eastAsia="华文中宋"/>
          <w:b/>
          <w:color w:val="auto"/>
          <w:kern w:val="0"/>
          <w:sz w:val="36"/>
          <w:szCs w:val="36"/>
          <w:highlight w:val="none"/>
          <w:lang w:val="en-US" w:eastAsia="zh-CN"/>
        </w:rPr>
      </w:pPr>
      <w:r>
        <w:rPr>
          <w:rFonts w:hint="eastAsia" w:ascii="Times New Roman" w:hAnsi="Times New Roman" w:eastAsia="华文中宋"/>
          <w:b/>
          <w:color w:val="auto"/>
          <w:kern w:val="0"/>
          <w:sz w:val="36"/>
          <w:szCs w:val="36"/>
          <w:highlight w:val="none"/>
          <w:lang w:val="en-US" w:eastAsia="zh-CN"/>
        </w:rPr>
        <w:t>安全文明设施采购</w:t>
      </w:r>
      <w:r>
        <w:rPr>
          <w:rFonts w:ascii="Times New Roman" w:hAnsi="Times New Roman" w:eastAsia="华文中宋"/>
          <w:b/>
          <w:color w:val="auto"/>
          <w:kern w:val="0"/>
          <w:sz w:val="36"/>
          <w:szCs w:val="36"/>
          <w:highlight w:val="none"/>
        </w:rPr>
        <w:t>合同</w:t>
      </w:r>
    </w:p>
    <w:p w14:paraId="1B6420BB">
      <w:pPr>
        <w:spacing w:line="360" w:lineRule="auto"/>
        <w:contextualSpacing/>
        <w:rPr>
          <w:color w:val="auto"/>
          <w:kern w:val="0"/>
          <w:sz w:val="24"/>
          <w:highlight w:val="none"/>
        </w:rPr>
      </w:pPr>
    </w:p>
    <w:p w14:paraId="0500457E">
      <w:pPr>
        <w:spacing w:line="240" w:lineRule="auto"/>
        <w:contextualSpacing/>
        <w:rPr>
          <w:color w:val="auto"/>
          <w:kern w:val="0"/>
          <w:sz w:val="24"/>
          <w:highlight w:val="none"/>
        </w:rPr>
      </w:pPr>
      <w:r>
        <w:rPr>
          <w:color w:val="auto"/>
          <w:kern w:val="0"/>
          <w:sz w:val="24"/>
          <w:highlight w:val="none"/>
        </w:rPr>
        <w:t xml:space="preserve">采购方： </w:t>
      </w:r>
      <w:r>
        <w:rPr>
          <w:rFonts w:hint="eastAsia"/>
          <w:color w:val="auto"/>
          <w:kern w:val="0"/>
          <w:sz w:val="24"/>
          <w:highlight w:val="none"/>
          <w:u w:val="single"/>
        </w:rPr>
        <w:t>浙江钱塘江水利建筑工程有限公司青田分公司</w:t>
      </w:r>
      <w:r>
        <w:rPr>
          <w:color w:val="auto"/>
          <w:kern w:val="0"/>
          <w:sz w:val="24"/>
          <w:highlight w:val="none"/>
        </w:rPr>
        <w:t>（以下简称甲方）</w:t>
      </w:r>
    </w:p>
    <w:p w14:paraId="0B681D9D">
      <w:pPr>
        <w:autoSpaceDE w:val="0"/>
        <w:autoSpaceDN w:val="0"/>
        <w:adjustRightInd w:val="0"/>
        <w:spacing w:line="240" w:lineRule="auto"/>
        <w:contextualSpacing/>
        <w:jc w:val="left"/>
        <w:rPr>
          <w:color w:val="auto"/>
          <w:kern w:val="0"/>
          <w:sz w:val="24"/>
          <w:highlight w:val="none"/>
        </w:rPr>
      </w:pPr>
    </w:p>
    <w:p w14:paraId="112F83B7">
      <w:pPr>
        <w:autoSpaceDE w:val="0"/>
        <w:autoSpaceDN w:val="0"/>
        <w:adjustRightInd w:val="0"/>
        <w:spacing w:line="240" w:lineRule="auto"/>
        <w:contextualSpacing/>
        <w:jc w:val="left"/>
        <w:rPr>
          <w:color w:val="auto"/>
          <w:kern w:val="0"/>
          <w:sz w:val="24"/>
          <w:highlight w:val="none"/>
        </w:rPr>
      </w:pPr>
      <w:r>
        <w:rPr>
          <w:color w:val="auto"/>
          <w:kern w:val="0"/>
          <w:sz w:val="24"/>
          <w:highlight w:val="none"/>
        </w:rPr>
        <w:t>供货方：</w:t>
      </w:r>
      <w:r>
        <w:rPr>
          <w:rFonts w:hint="eastAsia"/>
          <w:color w:val="auto"/>
          <w:kern w:val="0"/>
          <w:sz w:val="24"/>
          <w:highlight w:val="none"/>
          <w:u w:val="single"/>
        </w:rPr>
        <w:t>　</w:t>
      </w:r>
      <w:r>
        <w:rPr>
          <w:rFonts w:hint="eastAsia"/>
          <w:color w:val="auto"/>
          <w:kern w:val="0"/>
          <w:sz w:val="24"/>
          <w:highlight w:val="none"/>
          <w:u w:val="single"/>
          <w:lang w:val="en-US" w:eastAsia="zh-CN"/>
        </w:rPr>
        <w:t xml:space="preserve">          </w:t>
      </w:r>
      <w:r>
        <w:rPr>
          <w:rFonts w:hint="eastAsia"/>
          <w:color w:val="auto"/>
          <w:kern w:val="0"/>
          <w:sz w:val="24"/>
          <w:highlight w:val="none"/>
          <w:u w:val="single"/>
          <w:lang w:eastAsia="zh-CN"/>
        </w:rPr>
        <w:t xml:space="preserve"> </w:t>
      </w:r>
      <w:r>
        <w:rPr>
          <w:rFonts w:hint="eastAsia"/>
          <w:color w:val="auto"/>
          <w:kern w:val="0"/>
          <w:sz w:val="24"/>
          <w:highlight w:val="none"/>
          <w:u w:val="single"/>
        </w:rPr>
        <w:t xml:space="preserve">  </w:t>
      </w:r>
      <w:r>
        <w:rPr>
          <w:color w:val="auto"/>
          <w:kern w:val="0"/>
          <w:sz w:val="24"/>
          <w:highlight w:val="none"/>
        </w:rPr>
        <w:t>（以下简称乙方）</w:t>
      </w:r>
    </w:p>
    <w:p w14:paraId="18F08D59">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甲方因</w:t>
      </w:r>
      <w:r>
        <w:rPr>
          <w:rFonts w:hint="eastAsia"/>
          <w:color w:val="auto"/>
          <w:kern w:val="0"/>
          <w:sz w:val="24"/>
          <w:highlight w:val="none"/>
          <w:lang w:eastAsia="zh-CN"/>
        </w:rPr>
        <w:t>浙江青田抽水蓄能电站项目筹建期工程设计-采购-施工总承包（EPC）</w:t>
      </w:r>
      <w:r>
        <w:rPr>
          <w:rFonts w:hint="eastAsia"/>
          <w:color w:val="auto"/>
          <w:kern w:val="0"/>
          <w:sz w:val="24"/>
          <w:highlight w:val="none"/>
          <w:lang w:val="en-US" w:eastAsia="zh-CN"/>
        </w:rPr>
        <w:t>施工需要</w:t>
      </w:r>
      <w:r>
        <w:rPr>
          <w:rFonts w:hint="eastAsia"/>
          <w:color w:val="auto"/>
          <w:kern w:val="0"/>
          <w:sz w:val="24"/>
          <w:highlight w:val="none"/>
          <w:lang w:eastAsia="zh-CN"/>
        </w:rPr>
        <w:t>，</w:t>
      </w:r>
      <w:r>
        <w:rPr>
          <w:rFonts w:hint="eastAsia"/>
          <w:color w:val="auto"/>
          <w:kern w:val="0"/>
          <w:sz w:val="24"/>
          <w:highlight w:val="none"/>
        </w:rPr>
        <w:t>需要向乙方</w:t>
      </w:r>
      <w:r>
        <w:rPr>
          <w:color w:val="auto"/>
          <w:kern w:val="0"/>
          <w:sz w:val="24"/>
          <w:highlight w:val="none"/>
        </w:rPr>
        <w:t>采购</w:t>
      </w:r>
      <w:r>
        <w:rPr>
          <w:rFonts w:hint="eastAsia"/>
          <w:color w:val="auto"/>
          <w:kern w:val="0"/>
          <w:sz w:val="24"/>
          <w:highlight w:val="none"/>
          <w:u w:val="single"/>
        </w:rPr>
        <w:t xml:space="preserve"> </w:t>
      </w:r>
      <w:r>
        <w:rPr>
          <w:rFonts w:hint="eastAsia"/>
          <w:color w:val="auto"/>
          <w:kern w:val="0"/>
          <w:sz w:val="24"/>
          <w:highlight w:val="none"/>
          <w:u w:val="single"/>
          <w:lang w:val="en-US" w:eastAsia="zh-CN"/>
        </w:rPr>
        <w:t>安全文明设施采购</w:t>
      </w:r>
      <w:r>
        <w:rPr>
          <w:rFonts w:hint="eastAsia"/>
          <w:color w:val="auto"/>
          <w:kern w:val="0"/>
          <w:sz w:val="24"/>
          <w:highlight w:val="none"/>
          <w:u w:val="single"/>
        </w:rPr>
        <w:t xml:space="preserve"> </w:t>
      </w:r>
      <w:r>
        <w:rPr>
          <w:color w:val="auto"/>
          <w:kern w:val="0"/>
          <w:sz w:val="24"/>
          <w:highlight w:val="none"/>
        </w:rPr>
        <w:t>事宜，为明确双方的权利和义务，保证工程建设正常进行。甲、乙双方根据《中华人民共和国</w:t>
      </w:r>
      <w:r>
        <w:rPr>
          <w:rFonts w:hint="eastAsia"/>
          <w:color w:val="auto"/>
          <w:kern w:val="0"/>
          <w:sz w:val="24"/>
          <w:highlight w:val="none"/>
        </w:rPr>
        <w:t>民法典</w:t>
      </w:r>
      <w:r>
        <w:rPr>
          <w:color w:val="auto"/>
          <w:kern w:val="0"/>
          <w:sz w:val="24"/>
          <w:highlight w:val="none"/>
        </w:rPr>
        <w:t>》以及有关法律法规，本着互惠互利的原则，经协商后签订本合同，以资共同遵守：</w:t>
      </w:r>
    </w:p>
    <w:p w14:paraId="44014701">
      <w:pPr>
        <w:autoSpaceDE w:val="0"/>
        <w:autoSpaceDN w:val="0"/>
        <w:adjustRightInd w:val="0"/>
        <w:spacing w:line="360" w:lineRule="auto"/>
        <w:ind w:firstLine="482" w:firstLineChars="200"/>
        <w:contextualSpacing/>
        <w:jc w:val="left"/>
        <w:rPr>
          <w:rFonts w:ascii="宋体" w:hAnsi="宋体"/>
          <w:color w:val="auto"/>
          <w:kern w:val="0"/>
          <w:sz w:val="24"/>
          <w:highlight w:val="none"/>
        </w:rPr>
      </w:pPr>
      <w:r>
        <w:rPr>
          <w:rFonts w:ascii="宋体" w:hAnsi="宋体"/>
          <w:b/>
          <w:color w:val="auto"/>
          <w:kern w:val="0"/>
          <w:sz w:val="24"/>
          <w:highlight w:val="none"/>
        </w:rPr>
        <w:t>一、货物名称、规格型号、数量、计量单位、</w:t>
      </w:r>
      <w:r>
        <w:rPr>
          <w:rFonts w:hint="eastAsia" w:ascii="宋体" w:hAnsi="宋体"/>
          <w:b/>
          <w:color w:val="auto"/>
          <w:kern w:val="0"/>
          <w:sz w:val="24"/>
          <w:highlight w:val="none"/>
        </w:rPr>
        <w:t>含税</w:t>
      </w:r>
      <w:r>
        <w:rPr>
          <w:rFonts w:ascii="宋体" w:hAnsi="宋体"/>
          <w:b/>
          <w:color w:val="auto"/>
          <w:kern w:val="0"/>
          <w:sz w:val="24"/>
          <w:highlight w:val="none"/>
        </w:rPr>
        <w:t>单价</w:t>
      </w:r>
      <w:r>
        <w:rPr>
          <w:rFonts w:hint="eastAsia" w:ascii="宋体" w:hAnsi="宋体"/>
          <w:b/>
          <w:color w:val="auto"/>
          <w:kern w:val="0"/>
          <w:sz w:val="24"/>
          <w:highlight w:val="none"/>
        </w:rPr>
        <w:t>、</w:t>
      </w:r>
      <w:r>
        <w:rPr>
          <w:rFonts w:hint="eastAsia" w:ascii="宋体" w:hAnsi="宋体"/>
          <w:b/>
          <w:color w:val="auto"/>
          <w:kern w:val="0"/>
          <w:sz w:val="24"/>
          <w:highlight w:val="none"/>
          <w:lang w:val="en-US" w:eastAsia="zh-CN"/>
        </w:rPr>
        <w:t>含税总价</w:t>
      </w:r>
      <w:r>
        <w:rPr>
          <w:rFonts w:ascii="宋体" w:hAnsi="宋体"/>
          <w:b/>
          <w:color w:val="auto"/>
          <w:kern w:val="0"/>
          <w:sz w:val="24"/>
          <w:highlight w:val="none"/>
        </w:rPr>
        <w:t>：</w:t>
      </w:r>
    </w:p>
    <w:tbl>
      <w:tblPr>
        <w:tblStyle w:val="46"/>
        <w:tblW w:w="5049" w:type="pct"/>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5"/>
        <w:gridCol w:w="902"/>
        <w:gridCol w:w="2423"/>
        <w:gridCol w:w="927"/>
        <w:gridCol w:w="885"/>
        <w:gridCol w:w="681"/>
        <w:gridCol w:w="734"/>
        <w:gridCol w:w="763"/>
        <w:gridCol w:w="712"/>
      </w:tblGrid>
      <w:tr w14:paraId="4E9BF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ign w:val="center"/>
          </w:tcPr>
          <w:p w14:paraId="48DC434D">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523" w:type="pct"/>
            <w:tcBorders>
              <w:top w:val="single" w:color="000000" w:sz="4" w:space="0"/>
              <w:left w:val="single" w:color="000000" w:sz="4" w:space="0"/>
              <w:bottom w:val="single" w:color="000000" w:sz="4" w:space="0"/>
              <w:right w:val="single" w:color="000000" w:sz="4" w:space="0"/>
            </w:tcBorders>
            <w:noWrap/>
            <w:vAlign w:val="center"/>
          </w:tcPr>
          <w:p w14:paraId="00A8C08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3C147473">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7E74D8CB">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2EB5EC2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FCAFFF4">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含税单价</w:t>
            </w:r>
          </w:p>
          <w:p w14:paraId="3D92F15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（元）</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7F87E6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增值税税率或征收率（%）</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BB6107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含税总价（元）</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EB073AC">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0C2A7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DFBC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A10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61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B1E1B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256392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DE689F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AEFEBF7">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92DB1D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923E804">
            <w:pPr>
              <w:jc w:val="center"/>
              <w:rPr>
                <w:rFonts w:hint="eastAsia" w:ascii="宋体" w:hAnsi="宋体" w:eastAsia="宋体" w:cs="宋体"/>
                <w:i w:val="0"/>
                <w:iCs w:val="0"/>
                <w:color w:val="000000"/>
                <w:sz w:val="18"/>
                <w:szCs w:val="18"/>
                <w:highlight w:val="none"/>
                <w:u w:val="none"/>
              </w:rPr>
            </w:pPr>
          </w:p>
        </w:tc>
      </w:tr>
      <w:tr w14:paraId="5E8E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45FF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545D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5BD7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7AC3A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A3F4C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B9C9F8">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E7AB29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48F6D8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499EAA7">
            <w:pPr>
              <w:jc w:val="center"/>
              <w:rPr>
                <w:rFonts w:hint="eastAsia" w:ascii="宋体" w:hAnsi="宋体" w:eastAsia="宋体" w:cs="宋体"/>
                <w:i w:val="0"/>
                <w:iCs w:val="0"/>
                <w:color w:val="000000"/>
                <w:sz w:val="18"/>
                <w:szCs w:val="18"/>
                <w:highlight w:val="none"/>
                <w:u w:val="none"/>
              </w:rPr>
            </w:pPr>
          </w:p>
        </w:tc>
      </w:tr>
      <w:tr w14:paraId="3E3B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61B2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F0B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70FF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A4CACE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529B2F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816230E">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A9C9A8E">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B0BBE2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61AAEFC">
            <w:pPr>
              <w:jc w:val="center"/>
              <w:rPr>
                <w:rFonts w:hint="eastAsia" w:ascii="宋体" w:hAnsi="宋体" w:eastAsia="宋体" w:cs="宋体"/>
                <w:i w:val="0"/>
                <w:iCs w:val="0"/>
                <w:color w:val="000000"/>
                <w:sz w:val="18"/>
                <w:szCs w:val="18"/>
                <w:highlight w:val="none"/>
                <w:u w:val="none"/>
              </w:rPr>
            </w:pPr>
          </w:p>
        </w:tc>
      </w:tr>
      <w:tr w14:paraId="01BD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C3EF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D74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B88D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0567ECA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BD78A7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792D18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FB2FC1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F0E8BE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8CD9BD7">
            <w:pPr>
              <w:jc w:val="center"/>
              <w:rPr>
                <w:rFonts w:hint="eastAsia" w:ascii="宋体" w:hAnsi="宋体" w:eastAsia="宋体" w:cs="宋体"/>
                <w:i w:val="0"/>
                <w:iCs w:val="0"/>
                <w:color w:val="000000"/>
                <w:sz w:val="18"/>
                <w:szCs w:val="18"/>
                <w:highlight w:val="none"/>
                <w:u w:val="none"/>
              </w:rPr>
            </w:pPr>
          </w:p>
        </w:tc>
      </w:tr>
      <w:tr w14:paraId="1513E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4F39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5C2D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5F8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F67EA2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DC9AC7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A6941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7C9379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DCF5C5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8E4EC36">
            <w:pPr>
              <w:jc w:val="center"/>
              <w:rPr>
                <w:rFonts w:hint="eastAsia" w:ascii="宋体" w:hAnsi="宋体" w:eastAsia="宋体" w:cs="宋体"/>
                <w:i w:val="0"/>
                <w:iCs w:val="0"/>
                <w:color w:val="000000"/>
                <w:sz w:val="18"/>
                <w:szCs w:val="18"/>
                <w:highlight w:val="none"/>
                <w:u w:val="none"/>
              </w:rPr>
            </w:pPr>
          </w:p>
        </w:tc>
      </w:tr>
      <w:tr w14:paraId="7694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0E76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E17B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E0BB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95FEF1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CC1EBE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CF44195">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CE21285">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D776D3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5A39445">
            <w:pPr>
              <w:jc w:val="center"/>
              <w:rPr>
                <w:rFonts w:hint="eastAsia" w:ascii="宋体" w:hAnsi="宋体" w:eastAsia="宋体" w:cs="宋体"/>
                <w:i w:val="0"/>
                <w:iCs w:val="0"/>
                <w:color w:val="000000"/>
                <w:sz w:val="18"/>
                <w:szCs w:val="18"/>
                <w:highlight w:val="none"/>
                <w:u w:val="none"/>
              </w:rPr>
            </w:pPr>
          </w:p>
        </w:tc>
      </w:tr>
      <w:tr w14:paraId="6AC2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D74B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EDB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337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0354DC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CBB9F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68D47A6">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4E66BC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F1FDF2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4555C88">
            <w:pPr>
              <w:jc w:val="center"/>
              <w:rPr>
                <w:rFonts w:hint="eastAsia" w:ascii="宋体" w:hAnsi="宋体" w:eastAsia="宋体" w:cs="宋体"/>
                <w:i w:val="0"/>
                <w:iCs w:val="0"/>
                <w:color w:val="000000"/>
                <w:sz w:val="18"/>
                <w:szCs w:val="18"/>
                <w:highlight w:val="none"/>
                <w:u w:val="none"/>
              </w:rPr>
            </w:pPr>
          </w:p>
        </w:tc>
      </w:tr>
      <w:tr w14:paraId="4B273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CFF3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D78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C5FA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1B3562A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84F639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D23C78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40A50B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0E4F5C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306EB27">
            <w:pPr>
              <w:jc w:val="center"/>
              <w:rPr>
                <w:rFonts w:hint="eastAsia" w:ascii="宋体" w:hAnsi="宋体" w:eastAsia="宋体" w:cs="宋体"/>
                <w:i w:val="0"/>
                <w:iCs w:val="0"/>
                <w:color w:val="000000"/>
                <w:sz w:val="18"/>
                <w:szCs w:val="18"/>
                <w:highlight w:val="none"/>
                <w:u w:val="none"/>
              </w:rPr>
            </w:pPr>
          </w:p>
        </w:tc>
      </w:tr>
      <w:tr w14:paraId="5DDF9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4C91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2F5F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48A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25CBB04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BEC7A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22541EE">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7C8F4C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891809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95BBDCB">
            <w:pPr>
              <w:jc w:val="center"/>
              <w:rPr>
                <w:rFonts w:hint="eastAsia" w:ascii="宋体" w:hAnsi="宋体" w:eastAsia="宋体" w:cs="宋体"/>
                <w:i w:val="0"/>
                <w:iCs w:val="0"/>
                <w:color w:val="000000"/>
                <w:sz w:val="18"/>
                <w:szCs w:val="18"/>
                <w:highlight w:val="none"/>
                <w:u w:val="none"/>
              </w:rPr>
            </w:pPr>
          </w:p>
        </w:tc>
      </w:tr>
      <w:tr w14:paraId="4C95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C6DD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886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452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69C9000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DF843C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EC8B7F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C2D1BE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76BCF1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B4291B3">
            <w:pPr>
              <w:jc w:val="center"/>
              <w:rPr>
                <w:rFonts w:hint="eastAsia" w:ascii="宋体" w:hAnsi="宋体" w:eastAsia="宋体" w:cs="宋体"/>
                <w:i w:val="0"/>
                <w:iCs w:val="0"/>
                <w:color w:val="000000"/>
                <w:sz w:val="18"/>
                <w:szCs w:val="18"/>
                <w:highlight w:val="none"/>
                <w:u w:val="none"/>
              </w:rPr>
            </w:pPr>
          </w:p>
        </w:tc>
      </w:tr>
      <w:tr w14:paraId="351F0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EEEA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218F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DD9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43C59C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B68EEA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731DA65">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5CD7624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D6376B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5943543">
            <w:pPr>
              <w:jc w:val="center"/>
              <w:rPr>
                <w:rFonts w:hint="eastAsia" w:ascii="宋体" w:hAnsi="宋体" w:eastAsia="宋体" w:cs="宋体"/>
                <w:i w:val="0"/>
                <w:iCs w:val="0"/>
                <w:color w:val="000000"/>
                <w:sz w:val="18"/>
                <w:szCs w:val="18"/>
                <w:highlight w:val="none"/>
                <w:u w:val="none"/>
              </w:rPr>
            </w:pPr>
          </w:p>
        </w:tc>
      </w:tr>
      <w:tr w14:paraId="71E61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0BB7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666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926D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133383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0F8B12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28A098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119AC83E">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CF789E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14E7305">
            <w:pPr>
              <w:jc w:val="center"/>
              <w:rPr>
                <w:rFonts w:hint="eastAsia" w:ascii="宋体" w:hAnsi="宋体" w:eastAsia="宋体" w:cs="宋体"/>
                <w:i w:val="0"/>
                <w:iCs w:val="0"/>
                <w:color w:val="000000"/>
                <w:sz w:val="18"/>
                <w:szCs w:val="18"/>
                <w:highlight w:val="none"/>
                <w:u w:val="none"/>
              </w:rPr>
            </w:pPr>
          </w:p>
        </w:tc>
      </w:tr>
      <w:tr w14:paraId="7A37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8604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9262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73D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4EBCC06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CC6A0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EFB1E6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7D644C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D36693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445EC7A">
            <w:pPr>
              <w:jc w:val="center"/>
              <w:rPr>
                <w:rFonts w:hint="eastAsia" w:ascii="宋体" w:hAnsi="宋体" w:eastAsia="宋体" w:cs="宋体"/>
                <w:i w:val="0"/>
                <w:iCs w:val="0"/>
                <w:color w:val="000000"/>
                <w:sz w:val="18"/>
                <w:szCs w:val="18"/>
                <w:highlight w:val="none"/>
                <w:u w:val="none"/>
              </w:rPr>
            </w:pPr>
          </w:p>
        </w:tc>
      </w:tr>
      <w:tr w14:paraId="759BE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30C6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B8D5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DB1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1DCF036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B22A1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59F4319">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7CE9F00">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CA9BE5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8568527">
            <w:pPr>
              <w:jc w:val="center"/>
              <w:rPr>
                <w:rFonts w:hint="eastAsia" w:ascii="宋体" w:hAnsi="宋体" w:eastAsia="宋体" w:cs="宋体"/>
                <w:i w:val="0"/>
                <w:iCs w:val="0"/>
                <w:color w:val="000000"/>
                <w:sz w:val="18"/>
                <w:szCs w:val="18"/>
                <w:highlight w:val="none"/>
                <w:u w:val="none"/>
              </w:rPr>
            </w:pPr>
          </w:p>
        </w:tc>
      </w:tr>
      <w:tr w14:paraId="60D9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E9BF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52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649E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2B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538" w:type="pct"/>
            <w:tcBorders>
              <w:top w:val="single" w:color="000000" w:sz="4" w:space="0"/>
              <w:left w:val="single" w:color="000000" w:sz="4" w:space="0"/>
              <w:bottom w:val="single" w:color="000000" w:sz="4" w:space="0"/>
              <w:right w:val="single" w:color="000000" w:sz="4" w:space="0"/>
            </w:tcBorders>
            <w:shd w:val="clear" w:color="99CC00" w:fill="auto"/>
            <w:noWrap w:val="0"/>
            <w:vAlign w:val="center"/>
          </w:tcPr>
          <w:p w14:paraId="70F343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AB077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53D436A">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CF9766B">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85C5FE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B1C7989">
            <w:pPr>
              <w:jc w:val="center"/>
              <w:rPr>
                <w:rFonts w:hint="eastAsia" w:ascii="宋体" w:hAnsi="宋体" w:eastAsia="宋体" w:cs="宋体"/>
                <w:i w:val="0"/>
                <w:iCs w:val="0"/>
                <w:color w:val="000000"/>
                <w:sz w:val="18"/>
                <w:szCs w:val="18"/>
                <w:highlight w:val="none"/>
                <w:u w:val="none"/>
              </w:rPr>
            </w:pPr>
          </w:p>
        </w:tc>
      </w:tr>
      <w:tr w14:paraId="16ADB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F968F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8CB9D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6DC937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C5DB73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7EC192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559BC1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EDDA6F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02C426C6">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37CE751">
            <w:pPr>
              <w:jc w:val="center"/>
              <w:rPr>
                <w:rFonts w:hint="eastAsia" w:ascii="宋体" w:hAnsi="宋体" w:eastAsia="宋体" w:cs="宋体"/>
                <w:i w:val="0"/>
                <w:iCs w:val="0"/>
                <w:color w:val="000000"/>
                <w:sz w:val="18"/>
                <w:szCs w:val="18"/>
                <w:highlight w:val="none"/>
                <w:u w:val="none"/>
              </w:rPr>
            </w:pPr>
          </w:p>
        </w:tc>
      </w:tr>
      <w:tr w14:paraId="2685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F94DD5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0BEF23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050C6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8C545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06AC45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EC9BDBF">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2B7032C">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7EBA05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BA45FEC">
            <w:pPr>
              <w:jc w:val="center"/>
              <w:rPr>
                <w:rFonts w:hint="eastAsia" w:ascii="宋体" w:hAnsi="宋体" w:eastAsia="宋体" w:cs="宋体"/>
                <w:i w:val="0"/>
                <w:iCs w:val="0"/>
                <w:color w:val="000000"/>
                <w:sz w:val="18"/>
                <w:szCs w:val="18"/>
                <w:highlight w:val="none"/>
                <w:u w:val="none"/>
              </w:rPr>
            </w:pPr>
          </w:p>
        </w:tc>
      </w:tr>
      <w:tr w14:paraId="605E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7C63B2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DEEED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F9113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74A0B5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D7C7F3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094907B">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51FAC0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9729357">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C61C92D">
            <w:pPr>
              <w:jc w:val="center"/>
              <w:rPr>
                <w:rFonts w:hint="eastAsia" w:ascii="宋体" w:hAnsi="宋体" w:eastAsia="宋体" w:cs="宋体"/>
                <w:i w:val="0"/>
                <w:iCs w:val="0"/>
                <w:color w:val="000000"/>
                <w:sz w:val="18"/>
                <w:szCs w:val="18"/>
                <w:highlight w:val="none"/>
                <w:u w:val="none"/>
              </w:rPr>
            </w:pPr>
          </w:p>
        </w:tc>
      </w:tr>
      <w:tr w14:paraId="3A7B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405DC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364281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5625A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9037E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8DE849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FF4F94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3F75D6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F561237">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C51DC70">
            <w:pPr>
              <w:jc w:val="center"/>
              <w:rPr>
                <w:rFonts w:hint="eastAsia" w:ascii="宋体" w:hAnsi="宋体" w:eastAsia="宋体" w:cs="宋体"/>
                <w:i w:val="0"/>
                <w:iCs w:val="0"/>
                <w:color w:val="000000"/>
                <w:sz w:val="18"/>
                <w:szCs w:val="18"/>
                <w:highlight w:val="none"/>
                <w:u w:val="none"/>
              </w:rPr>
            </w:pPr>
          </w:p>
        </w:tc>
      </w:tr>
      <w:tr w14:paraId="678EB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3C54E6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51872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62C25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FDAFE1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C4670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8785AD3">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6AD0FB1">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5F92D3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F2F84FD">
            <w:pPr>
              <w:jc w:val="center"/>
              <w:rPr>
                <w:rFonts w:hint="eastAsia" w:ascii="宋体" w:hAnsi="宋体" w:eastAsia="宋体" w:cs="宋体"/>
                <w:i w:val="0"/>
                <w:iCs w:val="0"/>
                <w:color w:val="000000"/>
                <w:sz w:val="18"/>
                <w:szCs w:val="18"/>
                <w:highlight w:val="none"/>
                <w:u w:val="none"/>
              </w:rPr>
            </w:pPr>
          </w:p>
        </w:tc>
      </w:tr>
      <w:tr w14:paraId="4CC92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A3068D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432A621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138C68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92DF03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9C4DFB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85088EB">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22E1E68">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1759486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8109EBD">
            <w:pPr>
              <w:jc w:val="center"/>
              <w:rPr>
                <w:rFonts w:hint="eastAsia" w:ascii="宋体" w:hAnsi="宋体" w:eastAsia="宋体" w:cs="宋体"/>
                <w:i w:val="0"/>
                <w:iCs w:val="0"/>
                <w:color w:val="000000"/>
                <w:sz w:val="18"/>
                <w:szCs w:val="18"/>
                <w:highlight w:val="none"/>
                <w:u w:val="none"/>
              </w:rPr>
            </w:pPr>
          </w:p>
        </w:tc>
      </w:tr>
      <w:tr w14:paraId="63C81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4607C2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3D7C6C6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F5EE79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41E610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9936A1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C15953D">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67421102">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2C2C32F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7701D31">
            <w:pPr>
              <w:jc w:val="center"/>
              <w:rPr>
                <w:rFonts w:hint="eastAsia" w:ascii="宋体" w:hAnsi="宋体" w:eastAsia="宋体" w:cs="宋体"/>
                <w:i w:val="0"/>
                <w:iCs w:val="0"/>
                <w:color w:val="000000"/>
                <w:sz w:val="18"/>
                <w:szCs w:val="18"/>
                <w:highlight w:val="none"/>
                <w:u w:val="none"/>
              </w:rPr>
            </w:pPr>
          </w:p>
        </w:tc>
      </w:tr>
      <w:tr w14:paraId="2198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1ADE9F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257A8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5CDE95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2FE943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A856E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37A8AB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6B95619">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CBAF12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24B6030">
            <w:pPr>
              <w:jc w:val="center"/>
              <w:rPr>
                <w:rFonts w:hint="eastAsia" w:ascii="宋体" w:hAnsi="宋体" w:eastAsia="宋体" w:cs="宋体"/>
                <w:i w:val="0"/>
                <w:iCs w:val="0"/>
                <w:color w:val="000000"/>
                <w:sz w:val="18"/>
                <w:szCs w:val="18"/>
                <w:highlight w:val="none"/>
                <w:u w:val="none"/>
              </w:rPr>
            </w:pPr>
          </w:p>
        </w:tc>
      </w:tr>
      <w:tr w14:paraId="6150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A72919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2F25F49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3597C6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B5E654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B52A7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D49176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43E3D94">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477444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5D7FFE5">
            <w:pPr>
              <w:jc w:val="center"/>
              <w:rPr>
                <w:rFonts w:hint="eastAsia" w:ascii="宋体" w:hAnsi="宋体" w:eastAsia="宋体" w:cs="宋体"/>
                <w:i w:val="0"/>
                <w:iCs w:val="0"/>
                <w:color w:val="000000"/>
                <w:sz w:val="18"/>
                <w:szCs w:val="18"/>
                <w:highlight w:val="none"/>
                <w:u w:val="none"/>
              </w:rPr>
            </w:pPr>
          </w:p>
        </w:tc>
      </w:tr>
      <w:tr w14:paraId="1020A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AC11F7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028EF10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411A9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4B830C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7A7739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AB990A7">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0D99B598">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783E4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DE63491">
            <w:pPr>
              <w:jc w:val="center"/>
              <w:rPr>
                <w:rFonts w:hint="eastAsia" w:ascii="宋体" w:hAnsi="宋体" w:eastAsia="宋体" w:cs="宋体"/>
                <w:i w:val="0"/>
                <w:iCs w:val="0"/>
                <w:color w:val="000000"/>
                <w:sz w:val="18"/>
                <w:szCs w:val="18"/>
                <w:highlight w:val="none"/>
                <w:u w:val="none"/>
              </w:rPr>
            </w:pPr>
          </w:p>
        </w:tc>
      </w:tr>
      <w:tr w14:paraId="436AA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A90F8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DFBC9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A77BE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6C7AAB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51015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A25B848">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4D5810AB">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7029D73C">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BF9811D">
            <w:pPr>
              <w:jc w:val="center"/>
              <w:rPr>
                <w:rFonts w:hint="eastAsia" w:ascii="宋体" w:hAnsi="宋体" w:eastAsia="宋体" w:cs="宋体"/>
                <w:i w:val="0"/>
                <w:iCs w:val="0"/>
                <w:color w:val="000000"/>
                <w:sz w:val="18"/>
                <w:szCs w:val="18"/>
                <w:highlight w:val="none"/>
                <w:u w:val="none"/>
              </w:rPr>
            </w:pPr>
          </w:p>
        </w:tc>
      </w:tr>
      <w:tr w14:paraId="269D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F0FAC8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641BE70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A2759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13610C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BE6A0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998E5C">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344BCF63">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32FB848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9A19DE5">
            <w:pPr>
              <w:jc w:val="center"/>
              <w:rPr>
                <w:rFonts w:hint="eastAsia" w:ascii="宋体" w:hAnsi="宋体" w:eastAsia="宋体" w:cs="宋体"/>
                <w:i w:val="0"/>
                <w:iCs w:val="0"/>
                <w:color w:val="000000"/>
                <w:sz w:val="18"/>
                <w:szCs w:val="18"/>
                <w:highlight w:val="none"/>
                <w:u w:val="none"/>
              </w:rPr>
            </w:pPr>
          </w:p>
        </w:tc>
      </w:tr>
      <w:tr w14:paraId="55B7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E02264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523" w:type="pct"/>
            <w:tcBorders>
              <w:top w:val="single" w:color="000000" w:sz="4" w:space="0"/>
              <w:left w:val="single" w:color="000000" w:sz="4" w:space="0"/>
              <w:bottom w:val="single" w:color="000000" w:sz="4" w:space="0"/>
              <w:right w:val="single" w:color="000000" w:sz="4" w:space="0"/>
            </w:tcBorders>
            <w:noWrap w:val="0"/>
            <w:vAlign w:val="center"/>
          </w:tcPr>
          <w:p w14:paraId="7399C86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3E74D8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979AEE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737A0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15144A4">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4292C16">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5640601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FCE4D69">
            <w:pPr>
              <w:jc w:val="center"/>
              <w:rPr>
                <w:rFonts w:hint="eastAsia" w:ascii="宋体" w:hAnsi="宋体" w:eastAsia="宋体" w:cs="宋体"/>
                <w:i w:val="0"/>
                <w:iCs w:val="0"/>
                <w:color w:val="000000"/>
                <w:sz w:val="18"/>
                <w:szCs w:val="18"/>
                <w:highlight w:val="none"/>
                <w:u w:val="none"/>
              </w:rPr>
            </w:pPr>
          </w:p>
        </w:tc>
      </w:tr>
      <w:tr w14:paraId="2D986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15EC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523" w:type="pct"/>
            <w:tcBorders>
              <w:top w:val="single" w:color="000000" w:sz="4" w:space="0"/>
              <w:left w:val="single" w:color="000000" w:sz="4" w:space="0"/>
              <w:bottom w:val="single" w:color="000000" w:sz="4" w:space="0"/>
              <w:right w:val="single" w:color="000000" w:sz="4" w:space="0"/>
            </w:tcBorders>
            <w:shd w:val="clear" w:color="FFFFFF" w:fill="auto"/>
            <w:noWrap w:val="0"/>
            <w:vAlign w:val="center"/>
          </w:tcPr>
          <w:p w14:paraId="038D5560">
            <w:pPr>
              <w:keepNext w:val="0"/>
              <w:keepLines w:val="0"/>
              <w:widowControl/>
              <w:suppressLineNumbers w:val="0"/>
              <w:spacing w:beforeLines="0" w:afterLines="0"/>
              <w:jc w:val="center"/>
              <w:textAlignment w:val="auto"/>
              <w:rPr>
                <w:rFonts w:hint="eastAsia" w:ascii="宋体" w:hAnsi="宋体" w:eastAsia="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1E2F75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63DBA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D2B64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4442FA0">
            <w:pPr>
              <w:jc w:val="center"/>
              <w:rPr>
                <w:rFonts w:hint="eastAsia" w:ascii="宋体" w:hAnsi="宋体" w:eastAsia="宋体" w:cs="宋体"/>
                <w:i w:val="0"/>
                <w:iCs w:val="0"/>
                <w:color w:val="000000"/>
                <w:sz w:val="18"/>
                <w:szCs w:val="18"/>
                <w:highlight w:val="none"/>
                <w:u w:val="none"/>
              </w:rPr>
            </w:pP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26DD1BF7">
            <w:pPr>
              <w:jc w:val="center"/>
              <w:rPr>
                <w:rFonts w:hint="eastAsia" w:ascii="宋体" w:hAnsi="宋体" w:eastAsia="宋体" w:cs="宋体"/>
                <w:i w:val="0"/>
                <w:iCs w:val="0"/>
                <w:color w:val="000000"/>
                <w:sz w:val="18"/>
                <w:szCs w:val="18"/>
                <w:highlight w:val="none"/>
                <w:u w:val="none"/>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14:paraId="63E9EE9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FCC7168">
            <w:pPr>
              <w:jc w:val="center"/>
              <w:rPr>
                <w:rFonts w:hint="eastAsia" w:ascii="宋体" w:hAnsi="宋体" w:eastAsia="宋体" w:cs="宋体"/>
                <w:i w:val="0"/>
                <w:iCs w:val="0"/>
                <w:color w:val="000000"/>
                <w:sz w:val="18"/>
                <w:szCs w:val="18"/>
                <w:highlight w:val="none"/>
                <w:u w:val="none"/>
              </w:rPr>
            </w:pPr>
          </w:p>
        </w:tc>
      </w:tr>
      <w:tr w14:paraId="32061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4673E">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2"/>
                <w:szCs w:val="22"/>
                <w:highlight w:val="none"/>
                <w:u w:val="none"/>
                <w:lang w:val="en-US" w:eastAsia="zh-CN" w:bidi="ar"/>
              </w:rPr>
              <w:t>暂定含税总价（小写）：</w:t>
            </w:r>
            <w:r>
              <w:rPr>
                <w:rFonts w:hint="default" w:ascii="Arial" w:hAnsi="Arial" w:eastAsia="宋体" w:cs="Arial"/>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singl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，（大写）：</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1DF77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DDB0B">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 xml:space="preserve">暂定不含税总价（小写）： </w:t>
            </w:r>
            <w:r>
              <w:rPr>
                <w:rFonts w:hint="default" w:ascii="Arial" w:hAnsi="Arial" w:eastAsia="宋体" w:cs="Arial"/>
                <w:i w:val="0"/>
                <w:iCs w:val="0"/>
                <w:color w:val="000000"/>
                <w:kern w:val="0"/>
                <w:sz w:val="22"/>
                <w:szCs w:val="22"/>
                <w:highlight w:val="none"/>
                <w:u w:val="none"/>
                <w:lang w:val="en-US" w:eastAsia="zh-CN" w:bidi="ar"/>
              </w:rPr>
              <w:t>¥</w:t>
            </w:r>
            <w:r>
              <w:rPr>
                <w:rFonts w:hint="eastAsia" w:ascii="宋体" w:hAnsi="宋体" w:eastAsia="宋体" w:cs="宋体"/>
                <w:i w:val="0"/>
                <w:iCs w:val="0"/>
                <w:color w:val="000000"/>
                <w:kern w:val="0"/>
                <w:sz w:val="22"/>
                <w:szCs w:val="22"/>
                <w:highlight w:val="none"/>
                <w:u w:val="singl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，（大写）：</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2E4D9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6E95">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注：1、本合同含税总价=数量×含税单价；不含税总价=含税总价/（1+增值税税率或征收率）；税率</w:t>
            </w:r>
            <w:r>
              <w:rPr>
                <w:rFonts w:hint="eastAsia" w:ascii="宋体" w:hAnsi="宋体" w:eastAsia="宋体" w:cs="宋体"/>
                <w:i w:val="0"/>
                <w:iCs w:val="0"/>
                <w:color w:val="000000"/>
                <w:kern w:val="0"/>
                <w:sz w:val="22"/>
                <w:szCs w:val="22"/>
                <w:highlight w:val="none"/>
                <w:u w:val="single"/>
                <w:lang w:val="en-US" w:eastAsia="zh-CN" w:bidi="ar"/>
              </w:rPr>
              <w:t xml:space="preserve">     %</w:t>
            </w:r>
          </w:p>
        </w:tc>
      </w:tr>
      <w:tr w14:paraId="02CA1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999BD">
            <w:pPr>
              <w:keepNext w:val="0"/>
              <w:keepLines w:val="0"/>
              <w:widowControl/>
              <w:suppressLineNumbers w:val="0"/>
              <w:jc w:val="left"/>
              <w:textAlignment w:val="center"/>
              <w:rPr>
                <w:rFonts w:hint="eastAsia" w:ascii="宋体" w:hAnsi="宋体"/>
                <w:color w:val="auto"/>
                <w:sz w:val="22"/>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2、本合同单价已包括货物价款、安装、拆除费等为实现本合同目的的所有费，包括货物进场时随带检测报告的试验、检验费用；包括售后服务以及市场价格涨幅等的各类风险费用；以及其他所有相关服务费用；本合同履行期间,不论是否分期交货，计价方式均不作调整。甲方不再支付额外任何费用。</w:t>
            </w:r>
          </w:p>
        </w:tc>
      </w:tr>
      <w:tr w14:paraId="04A2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A9690">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3、本合同的数量为以下第（1）种：</w:t>
            </w:r>
          </w:p>
        </w:tc>
      </w:tr>
      <w:tr w14:paraId="12522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F8437">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（1）本合同中的货物数量为暂定数量，乙方不得以此数量与甲方发生任何经济与法律纠纷，并要满足甲方施工现场的需要，最终结算数量以甲方最终确认的数量为准。</w:t>
            </w:r>
          </w:p>
          <w:p w14:paraId="457E0235">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（2）本合同的货物数量为固定数量。</w:t>
            </w:r>
          </w:p>
        </w:tc>
      </w:tr>
      <w:tr w14:paraId="4592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612"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93D25">
            <w:pPr>
              <w:keepNext w:val="0"/>
              <w:keepLines w:val="0"/>
              <w:widowControl/>
              <w:suppressLineNumbers w:val="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4、本合同的收货数量均以甲方有权签收人员确认的数量为准。</w:t>
            </w:r>
          </w:p>
        </w:tc>
      </w:tr>
    </w:tbl>
    <w:p w14:paraId="6B1EEDA7">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二、交货期限与地点</w:t>
      </w:r>
    </w:p>
    <w:p w14:paraId="76DBA08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1、交货期限选择以下第</w:t>
      </w:r>
      <w:r>
        <w:rPr>
          <w:rFonts w:hint="eastAsia"/>
          <w:color w:val="auto"/>
          <w:kern w:val="0"/>
          <w:sz w:val="24"/>
          <w:highlight w:val="none"/>
          <w:u w:val="single"/>
        </w:rPr>
        <w:t>（3）</w:t>
      </w:r>
      <w:r>
        <w:rPr>
          <w:color w:val="auto"/>
          <w:kern w:val="0"/>
          <w:sz w:val="24"/>
          <w:highlight w:val="none"/>
        </w:rPr>
        <w:t>方式：</w:t>
      </w:r>
    </w:p>
    <w:p w14:paraId="33F1BB6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（1）本合同签订后</w:t>
      </w:r>
      <w:r>
        <w:rPr>
          <w:rFonts w:hint="eastAsia"/>
          <w:color w:val="auto"/>
          <w:kern w:val="0"/>
          <w:sz w:val="24"/>
          <w:highlight w:val="none"/>
          <w:u w:val="single"/>
        </w:rPr>
        <w:t xml:space="preserve">  /  </w:t>
      </w:r>
      <w:r>
        <w:rPr>
          <w:color w:val="auto"/>
          <w:kern w:val="0"/>
          <w:sz w:val="24"/>
          <w:highlight w:val="none"/>
        </w:rPr>
        <w:t>日内交货。</w:t>
      </w:r>
    </w:p>
    <w:p w14:paraId="7670A59D">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w:t>
      </w:r>
      <w:r>
        <w:rPr>
          <w:rFonts w:hint="eastAsia"/>
          <w:color w:val="auto"/>
          <w:kern w:val="0"/>
          <w:sz w:val="24"/>
          <w:highlight w:val="none"/>
          <w:u w:val="single"/>
        </w:rPr>
        <w:t xml:space="preserve">  /  </w:t>
      </w:r>
      <w:r>
        <w:rPr>
          <w:color w:val="auto"/>
          <w:kern w:val="0"/>
          <w:sz w:val="24"/>
          <w:highlight w:val="none"/>
        </w:rPr>
        <w:t>年</w:t>
      </w:r>
      <w:r>
        <w:rPr>
          <w:rFonts w:hint="eastAsia"/>
          <w:color w:val="auto"/>
          <w:kern w:val="0"/>
          <w:sz w:val="24"/>
          <w:highlight w:val="none"/>
          <w:u w:val="single"/>
        </w:rPr>
        <w:t xml:space="preserve">  /  </w:t>
      </w:r>
      <w:r>
        <w:rPr>
          <w:color w:val="auto"/>
          <w:kern w:val="0"/>
          <w:sz w:val="24"/>
          <w:highlight w:val="none"/>
        </w:rPr>
        <w:t>月</w:t>
      </w:r>
      <w:r>
        <w:rPr>
          <w:rFonts w:hint="eastAsia"/>
          <w:color w:val="auto"/>
          <w:kern w:val="0"/>
          <w:sz w:val="24"/>
          <w:highlight w:val="none"/>
          <w:u w:val="single"/>
        </w:rPr>
        <w:t xml:space="preserve">  /  </w:t>
      </w:r>
      <w:r>
        <w:rPr>
          <w:color w:val="auto"/>
          <w:kern w:val="0"/>
          <w:sz w:val="24"/>
          <w:highlight w:val="none"/>
        </w:rPr>
        <w:t>日前交货。</w:t>
      </w:r>
    </w:p>
    <w:p w14:paraId="55714B7E">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（3）乙方根据甲方传真、邮件或电话指示交货。</w:t>
      </w:r>
    </w:p>
    <w:p w14:paraId="4422D272">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（4）其他方式：</w:t>
      </w:r>
      <w:r>
        <w:rPr>
          <w:rFonts w:hint="eastAsia"/>
          <w:color w:val="auto"/>
          <w:kern w:val="0"/>
          <w:sz w:val="24"/>
          <w:highlight w:val="none"/>
          <w:u w:val="single"/>
        </w:rPr>
        <w:t xml:space="preserve">  /  </w:t>
      </w:r>
      <w:r>
        <w:rPr>
          <w:color w:val="auto"/>
          <w:kern w:val="0"/>
          <w:sz w:val="24"/>
          <w:highlight w:val="none"/>
        </w:rPr>
        <w:t>。</w:t>
      </w:r>
    </w:p>
    <w:p w14:paraId="6EBB78F2">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2、交货地点(工程所在地)：</w:t>
      </w:r>
      <w:r>
        <w:rPr>
          <w:rFonts w:hint="eastAsia"/>
          <w:color w:val="auto"/>
          <w:kern w:val="0"/>
          <w:sz w:val="24"/>
          <w:highlight w:val="none"/>
          <w:u w:val="single"/>
        </w:rPr>
        <w:t xml:space="preserve"> </w:t>
      </w:r>
      <w:r>
        <w:rPr>
          <w:rFonts w:hint="eastAsia"/>
          <w:color w:val="auto"/>
          <w:kern w:val="0"/>
          <w:sz w:val="24"/>
          <w:highlight w:val="none"/>
          <w:u w:val="single"/>
          <w:lang w:val="en-US" w:eastAsia="zh-CN"/>
        </w:rPr>
        <w:t>浙江青田抽水蓄能电站项目筹建期工程设计-采购-施工总承包（EPC）施工现场</w:t>
      </w:r>
      <w:r>
        <w:rPr>
          <w:rFonts w:hint="eastAsia"/>
          <w:color w:val="auto"/>
          <w:kern w:val="0"/>
          <w:sz w:val="24"/>
          <w:highlight w:val="none"/>
          <w:u w:val="single"/>
        </w:rPr>
        <w:t xml:space="preserve">  </w:t>
      </w:r>
      <w:r>
        <w:rPr>
          <w:color w:val="auto"/>
          <w:kern w:val="0"/>
          <w:sz w:val="24"/>
          <w:highlight w:val="none"/>
        </w:rPr>
        <w:t>。</w:t>
      </w:r>
    </w:p>
    <w:p w14:paraId="07F6CCDD">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3、双方负责代表：</w:t>
      </w:r>
    </w:p>
    <w:p w14:paraId="31FE5C8A">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甲方指定收货联系人：</w:t>
      </w:r>
      <w:r>
        <w:rPr>
          <w:rFonts w:hint="eastAsia"/>
          <w:b/>
          <w:color w:val="auto"/>
          <w:kern w:val="0"/>
          <w:sz w:val="24"/>
          <w:highlight w:val="none"/>
          <w:u w:val="single"/>
          <w:lang w:val="en-US" w:eastAsia="zh-CN"/>
        </w:rPr>
        <w:t xml:space="preserve">    </w:t>
      </w:r>
      <w:r>
        <w:rPr>
          <w:b/>
          <w:color w:val="auto"/>
          <w:kern w:val="0"/>
          <w:sz w:val="24"/>
          <w:highlight w:val="none"/>
          <w:u w:val="single"/>
        </w:rPr>
        <w:t>，电话：</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 xml:space="preserve"> </w:t>
      </w:r>
      <w:r>
        <w:rPr>
          <w:b/>
          <w:color w:val="auto"/>
          <w:kern w:val="0"/>
          <w:sz w:val="24"/>
          <w:highlight w:val="none"/>
          <w:u w:val="single"/>
        </w:rPr>
        <w:t>；甲方收货联系人仅有对乙方送货单中数量予以确认的权利，对货物价款以及最终结算单没有确认的权利。</w:t>
      </w:r>
    </w:p>
    <w:p w14:paraId="164E0338">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乙方发货联系人：</w:t>
      </w:r>
      <w:r>
        <w:rPr>
          <w:rFonts w:hint="eastAsia"/>
          <w:b/>
          <w:color w:val="auto"/>
          <w:kern w:val="0"/>
          <w:sz w:val="24"/>
          <w:highlight w:val="none"/>
          <w:u w:val="single"/>
          <w:lang w:val="en-US" w:eastAsia="zh-CN"/>
        </w:rPr>
        <w:t xml:space="preserve">    </w:t>
      </w:r>
      <w:r>
        <w:rPr>
          <w:b/>
          <w:color w:val="auto"/>
          <w:kern w:val="0"/>
          <w:sz w:val="24"/>
          <w:highlight w:val="none"/>
          <w:u w:val="single"/>
        </w:rPr>
        <w:t>，电话：</w:t>
      </w:r>
      <w:r>
        <w:rPr>
          <w:rFonts w:hint="eastAsia"/>
          <w:b/>
          <w:color w:val="auto"/>
          <w:kern w:val="0"/>
          <w:sz w:val="24"/>
          <w:highlight w:val="none"/>
          <w:u w:val="single"/>
          <w:lang w:val="en-US" w:eastAsia="zh-CN"/>
        </w:rPr>
        <w:t xml:space="preserve">      </w:t>
      </w:r>
      <w:r>
        <w:rPr>
          <w:b/>
          <w:color w:val="auto"/>
          <w:kern w:val="0"/>
          <w:sz w:val="24"/>
          <w:highlight w:val="none"/>
          <w:u w:val="single"/>
        </w:rPr>
        <w:t>传真：</w:t>
      </w:r>
      <w:r>
        <w:rPr>
          <w:rFonts w:hint="eastAsia"/>
          <w:b/>
          <w:color w:val="auto"/>
          <w:kern w:val="0"/>
          <w:sz w:val="24"/>
          <w:highlight w:val="none"/>
          <w:u w:val="single"/>
        </w:rPr>
        <w:t xml:space="preserve"> </w:t>
      </w:r>
      <w:r>
        <w:rPr>
          <w:rFonts w:hint="eastAsia"/>
          <w:b/>
          <w:color w:val="auto"/>
          <w:kern w:val="0"/>
          <w:sz w:val="24"/>
          <w:highlight w:val="none"/>
          <w:u w:val="single"/>
          <w:lang w:val="en-US" w:eastAsia="zh-CN"/>
        </w:rPr>
        <w:t>/</w:t>
      </w:r>
      <w:r>
        <w:rPr>
          <w:rFonts w:hint="eastAsia"/>
          <w:b/>
          <w:color w:val="auto"/>
          <w:kern w:val="0"/>
          <w:sz w:val="24"/>
          <w:highlight w:val="none"/>
          <w:u w:val="single"/>
        </w:rPr>
        <w:t xml:space="preserve"> </w:t>
      </w:r>
      <w:r>
        <w:rPr>
          <w:b/>
          <w:color w:val="auto"/>
          <w:kern w:val="0"/>
          <w:sz w:val="24"/>
          <w:highlight w:val="none"/>
          <w:u w:val="single"/>
        </w:rPr>
        <w:t>，电子邮箱：</w:t>
      </w:r>
      <w:r>
        <w:rPr>
          <w:rFonts w:hint="eastAsia"/>
          <w:b/>
          <w:color w:val="auto"/>
          <w:kern w:val="0"/>
          <w:sz w:val="24"/>
          <w:highlight w:val="none"/>
          <w:u w:val="single"/>
        </w:rPr>
        <w:t xml:space="preserve"> </w:t>
      </w:r>
      <w:r>
        <w:rPr>
          <w:rFonts w:hint="eastAsia"/>
          <w:b/>
          <w:color w:val="auto"/>
          <w:kern w:val="0"/>
          <w:sz w:val="24"/>
          <w:highlight w:val="none"/>
          <w:u w:val="single"/>
          <w:lang w:val="en-US" w:eastAsia="zh-CN"/>
        </w:rPr>
        <w:t>/</w:t>
      </w:r>
      <w:r>
        <w:rPr>
          <w:rFonts w:hint="eastAsia"/>
          <w:b/>
          <w:color w:val="auto"/>
          <w:kern w:val="0"/>
          <w:sz w:val="24"/>
          <w:highlight w:val="none"/>
          <w:u w:val="single"/>
        </w:rPr>
        <w:t xml:space="preserve"> </w:t>
      </w:r>
      <w:r>
        <w:rPr>
          <w:b/>
          <w:color w:val="auto"/>
          <w:kern w:val="0"/>
          <w:sz w:val="24"/>
          <w:highlight w:val="none"/>
          <w:u w:val="single"/>
        </w:rPr>
        <w:t>。乙方须将货物运至交货地点交甲方联系人签收确认方为有效。非本合同约定甲方联系人签收的送货单，视为甲方未收到相应货物，对甲方不具有效力。</w:t>
      </w:r>
    </w:p>
    <w:p w14:paraId="44846639">
      <w:pPr>
        <w:autoSpaceDE w:val="0"/>
        <w:autoSpaceDN w:val="0"/>
        <w:adjustRightInd w:val="0"/>
        <w:spacing w:line="360" w:lineRule="auto"/>
        <w:ind w:firstLine="482" w:firstLineChars="200"/>
        <w:contextualSpacing/>
        <w:jc w:val="left"/>
        <w:rPr>
          <w:color w:val="auto"/>
          <w:kern w:val="0"/>
          <w:sz w:val="24"/>
          <w:highlight w:val="none"/>
        </w:rPr>
      </w:pPr>
      <w:r>
        <w:rPr>
          <w:b/>
          <w:color w:val="auto"/>
          <w:kern w:val="0"/>
          <w:sz w:val="24"/>
          <w:highlight w:val="none"/>
          <w:u w:val="single"/>
        </w:rPr>
        <w:t>合同双方更换各自代表时应及时书面通知对方，以保证货物交接顺利。</w:t>
      </w:r>
    </w:p>
    <w:p w14:paraId="6027898D">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三、运输与包装</w:t>
      </w:r>
    </w:p>
    <w:p w14:paraId="2F6446C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1、运输采用以下第</w:t>
      </w:r>
      <w:r>
        <w:rPr>
          <w:rFonts w:hint="eastAsia"/>
          <w:color w:val="auto"/>
          <w:kern w:val="0"/>
          <w:sz w:val="24"/>
          <w:highlight w:val="none"/>
          <w:u w:val="single"/>
        </w:rPr>
        <w:t>（1）</w:t>
      </w:r>
      <w:r>
        <w:rPr>
          <w:color w:val="auto"/>
          <w:kern w:val="0"/>
          <w:sz w:val="24"/>
          <w:highlight w:val="none"/>
        </w:rPr>
        <w:t>种方式，运输费用由</w:t>
      </w:r>
      <w:r>
        <w:rPr>
          <w:rFonts w:hint="eastAsia"/>
          <w:color w:val="auto"/>
          <w:kern w:val="0"/>
          <w:sz w:val="24"/>
          <w:highlight w:val="none"/>
          <w:u w:val="single"/>
        </w:rPr>
        <w:t>乙方</w:t>
      </w:r>
      <w:r>
        <w:rPr>
          <w:color w:val="auto"/>
          <w:kern w:val="0"/>
          <w:sz w:val="24"/>
          <w:highlight w:val="none"/>
        </w:rPr>
        <w:t>承担：</w:t>
      </w:r>
    </w:p>
    <w:p w14:paraId="10365A93">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（1）乙方运输至甲方指定地点。</w:t>
      </w:r>
    </w:p>
    <w:p w14:paraId="42CE112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（2）乙方托运至甲方指定地点。</w:t>
      </w:r>
    </w:p>
    <w:p w14:paraId="31C18CD9">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（3）其他方式：</w:t>
      </w:r>
      <w:r>
        <w:rPr>
          <w:rFonts w:hint="eastAsia"/>
          <w:color w:val="auto"/>
          <w:kern w:val="0"/>
          <w:sz w:val="24"/>
          <w:highlight w:val="none"/>
          <w:u w:val="single"/>
        </w:rPr>
        <w:t>/</w:t>
      </w:r>
      <w:r>
        <w:rPr>
          <w:color w:val="auto"/>
          <w:kern w:val="0"/>
          <w:sz w:val="24"/>
          <w:highlight w:val="none"/>
        </w:rPr>
        <w:t>。</w:t>
      </w:r>
    </w:p>
    <w:p w14:paraId="28DDB919">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2、包装要求：</w:t>
      </w:r>
      <w:r>
        <w:rPr>
          <w:rFonts w:hint="eastAsia"/>
          <w:color w:val="auto"/>
          <w:kern w:val="0"/>
          <w:sz w:val="24"/>
          <w:highlight w:val="none"/>
          <w:u w:val="single"/>
        </w:rPr>
        <w:t>质量符合施工要求进入施工现场</w:t>
      </w:r>
      <w:r>
        <w:rPr>
          <w:color w:val="auto"/>
          <w:kern w:val="0"/>
          <w:sz w:val="24"/>
          <w:highlight w:val="none"/>
        </w:rPr>
        <w:t>。</w:t>
      </w:r>
    </w:p>
    <w:p w14:paraId="1277B3D8">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w:t>
      </w:r>
      <w:r>
        <w:rPr>
          <w:color w:val="auto"/>
          <w:kern w:val="0"/>
          <w:sz w:val="24"/>
          <w:highlight w:val="none"/>
        </w:rPr>
        <w:t>、</w:t>
      </w:r>
      <w:r>
        <w:rPr>
          <w:rFonts w:hint="eastAsia"/>
          <w:color w:val="auto"/>
          <w:kern w:val="0"/>
          <w:sz w:val="24"/>
          <w:highlight w:val="none"/>
          <w:u w:val="single"/>
        </w:rPr>
        <w:t>乙</w:t>
      </w:r>
      <w:r>
        <w:rPr>
          <w:color w:val="auto"/>
          <w:kern w:val="0"/>
          <w:sz w:val="24"/>
          <w:highlight w:val="none"/>
        </w:rPr>
        <w:t>方应承担运输和在指定地点负责卸货、码堆</w:t>
      </w:r>
      <w:r>
        <w:rPr>
          <w:rFonts w:hint="eastAsia"/>
          <w:color w:val="auto"/>
          <w:kern w:val="0"/>
          <w:sz w:val="24"/>
          <w:highlight w:val="none"/>
          <w:lang w:eastAsia="zh-CN"/>
        </w:rPr>
        <w:t>、</w:t>
      </w:r>
      <w:r>
        <w:rPr>
          <w:rFonts w:hint="eastAsia"/>
          <w:color w:val="auto"/>
          <w:kern w:val="0"/>
          <w:sz w:val="24"/>
          <w:highlight w:val="none"/>
          <w:lang w:val="en-US" w:eastAsia="zh-CN"/>
        </w:rPr>
        <w:t>安装、维护</w:t>
      </w:r>
      <w:r>
        <w:rPr>
          <w:color w:val="auto"/>
          <w:kern w:val="0"/>
          <w:sz w:val="24"/>
          <w:highlight w:val="none"/>
        </w:rPr>
        <w:t>的义务，相关费用由</w:t>
      </w:r>
      <w:r>
        <w:rPr>
          <w:rFonts w:hint="eastAsia"/>
          <w:color w:val="auto"/>
          <w:kern w:val="0"/>
          <w:sz w:val="24"/>
          <w:highlight w:val="none"/>
          <w:u w:val="single"/>
        </w:rPr>
        <w:t xml:space="preserve">  乙 </w:t>
      </w:r>
      <w:r>
        <w:rPr>
          <w:color w:val="auto"/>
          <w:kern w:val="0"/>
          <w:sz w:val="24"/>
          <w:highlight w:val="none"/>
        </w:rPr>
        <w:t>方承担。</w:t>
      </w:r>
    </w:p>
    <w:p w14:paraId="1FD16E54">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4、乙方装卸、运输过程中的一切人员、机械、车辆安全，应按照国家及地方规定办理相关手续、责任自负。</w:t>
      </w:r>
    </w:p>
    <w:p w14:paraId="4714AEB8">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5、乙方装卸、运输中应做相应的环保措施，应符合国家环保要求，因环保造成的一切罚款及责任由乙方自行承担。</w:t>
      </w:r>
    </w:p>
    <w:p w14:paraId="7452751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6、乙方必须对其出入工地现场的人员进行安全交底，并应自带安全防护用品，因乙方原因造成的各种人员伤害及经济损失由乙方自行承担，并补偿甲方及第三方因此造成的一切损失。</w:t>
      </w:r>
    </w:p>
    <w:p w14:paraId="3A9C1AAF">
      <w:pPr>
        <w:autoSpaceDE w:val="0"/>
        <w:autoSpaceDN w:val="0"/>
        <w:adjustRightInd w:val="0"/>
        <w:spacing w:line="360" w:lineRule="auto"/>
        <w:ind w:firstLine="480" w:firstLineChars="200"/>
        <w:contextualSpacing/>
        <w:rPr>
          <w:color w:val="auto"/>
          <w:kern w:val="0"/>
          <w:sz w:val="24"/>
          <w:highlight w:val="none"/>
        </w:rPr>
      </w:pPr>
      <w:r>
        <w:rPr>
          <w:color w:val="auto"/>
          <w:kern w:val="0"/>
          <w:sz w:val="24"/>
          <w:highlight w:val="none"/>
        </w:rPr>
        <w:t>7、乙方进入工地现场人员必须听从甲方管理人员管理，进场车辆必须听从调度，遵守甲方现场文明工地等有关管理制度。对不听从甲方管理的人员、车辆，甲方有权清理出场。由此影响施工所造成的一切损失由乙方承担责任。</w:t>
      </w:r>
    </w:p>
    <w:p w14:paraId="5D5C193C">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rPr>
        <w:t>四、质量</w:t>
      </w:r>
      <w:r>
        <w:rPr>
          <w:rFonts w:hint="eastAsia"/>
          <w:b/>
          <w:color w:val="auto"/>
          <w:kern w:val="0"/>
          <w:sz w:val="24"/>
          <w:highlight w:val="none"/>
          <w:lang w:val="en-US" w:eastAsia="zh-CN"/>
        </w:rPr>
        <w:t>及其他</w:t>
      </w:r>
      <w:r>
        <w:rPr>
          <w:b/>
          <w:color w:val="auto"/>
          <w:kern w:val="0"/>
          <w:sz w:val="24"/>
          <w:highlight w:val="none"/>
        </w:rPr>
        <w:t>要求</w:t>
      </w:r>
    </w:p>
    <w:p w14:paraId="64B71A60">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1、乙方货物质量应达到国家标准、行业标准、地方标准、乙方企业标准，且满足施工图的各项技术要求，若在本合同履行过程中遇到国家、行业、地方标准进行调整，则按照调整后的新标准执行。</w:t>
      </w:r>
    </w:p>
    <w:p w14:paraId="658CDDD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w:t>
      </w:r>
      <w:r>
        <w:rPr>
          <w:rFonts w:hint="eastAsia"/>
          <w:color w:val="auto"/>
          <w:kern w:val="0"/>
          <w:sz w:val="24"/>
          <w:highlight w:val="none"/>
        </w:rPr>
        <w:t>乙方正式交货时货物的质量、外观、规格、型号、标识应与甲方现投入的标识牌质量、外观、规格、型号保持一致</w:t>
      </w:r>
      <w:r>
        <w:rPr>
          <w:color w:val="auto"/>
          <w:kern w:val="0"/>
          <w:sz w:val="24"/>
          <w:highlight w:val="none"/>
        </w:rPr>
        <w:t>。</w:t>
      </w:r>
    </w:p>
    <w:p w14:paraId="67C7573A">
      <w:pPr>
        <w:autoSpaceDE w:val="0"/>
        <w:autoSpaceDN w:val="0"/>
        <w:snapToGrid w:val="0"/>
        <w:spacing w:line="360" w:lineRule="auto"/>
        <w:ind w:firstLine="480" w:firstLineChars="200"/>
        <w:contextualSpacing/>
        <w:jc w:val="left"/>
        <w:rPr>
          <w:rFonts w:hint="eastAsia"/>
          <w:color w:val="auto"/>
          <w:kern w:val="0"/>
          <w:sz w:val="24"/>
          <w:highlight w:val="none"/>
        </w:rPr>
      </w:pPr>
      <w:r>
        <w:rPr>
          <w:rFonts w:hint="eastAsia"/>
          <w:color w:val="auto"/>
          <w:kern w:val="0"/>
          <w:sz w:val="24"/>
          <w:highlight w:val="none"/>
          <w:lang w:val="en-US" w:eastAsia="zh-CN"/>
        </w:rPr>
        <w:t>3、</w:t>
      </w:r>
      <w:r>
        <w:rPr>
          <w:rFonts w:ascii="宋体" w:hAnsi="宋体" w:eastAsia="宋体" w:cs="宋体"/>
          <w:sz w:val="24"/>
          <w:szCs w:val="24"/>
        </w:rPr>
        <w:t>本项目现场各级检查频次较多，甲方根据现场整改、迎检需要，随时下达应急标识牌制作、供货、移位、加装、更换等工作指令，乙方须无条件配合甲方开展相关工作。</w:t>
      </w:r>
      <w:r>
        <w:rPr>
          <w:rFonts w:hint="eastAsia"/>
          <w:color w:val="auto"/>
          <w:kern w:val="0"/>
          <w:sz w:val="24"/>
          <w:highlight w:val="none"/>
          <w:u w:val="single"/>
        </w:rPr>
        <w:t>乙方自收到甲方书面 / 微信 / 电话指令起12 小时内完成响应</w:t>
      </w:r>
      <w:r>
        <w:rPr>
          <w:rFonts w:hint="eastAsia"/>
          <w:color w:val="auto"/>
          <w:kern w:val="0"/>
          <w:sz w:val="24"/>
          <w:highlight w:val="none"/>
        </w:rPr>
        <w:t>，按甲方要求落实现场勘查、备货生产、运输及现场安装移位等全部相关工作；因乙方备货不足、供货滞后、配合不到位等自身原因，致使甲方迎检不合格，被监理单位、建设单位或上级主管部门通报、责令整改、行政处罚的，由此产生的全部直接、间接经济损失（含罚款、整改费用、人工费用等）均由乙方全额承担；同时乙方单次另行向甲方支付违约金人民币</w:t>
      </w:r>
      <w:r>
        <w:rPr>
          <w:rFonts w:hint="eastAsia"/>
          <w:color w:val="auto"/>
          <w:kern w:val="0"/>
          <w:sz w:val="24"/>
          <w:highlight w:val="none"/>
          <w:lang w:val="en-US" w:eastAsia="zh-CN"/>
        </w:rPr>
        <w:t>5</w:t>
      </w:r>
      <w:r>
        <w:rPr>
          <w:rFonts w:hint="eastAsia"/>
          <w:color w:val="auto"/>
          <w:kern w:val="0"/>
          <w:sz w:val="24"/>
          <w:highlight w:val="none"/>
        </w:rPr>
        <w:t>0000 元，甲方有权从当期应付货款中直接扣除前述违约金及损失款项。</w:t>
      </w:r>
    </w:p>
    <w:p w14:paraId="33082FA6">
      <w:pPr>
        <w:autoSpaceDE w:val="0"/>
        <w:autoSpaceDN w:val="0"/>
        <w:snapToGrid w:val="0"/>
        <w:spacing w:line="360" w:lineRule="auto"/>
        <w:ind w:firstLine="480" w:firstLineChars="200"/>
        <w:contextualSpacing/>
        <w:jc w:val="left"/>
        <w:rPr>
          <w:rFonts w:hint="eastAsia"/>
          <w:color w:val="auto"/>
          <w:sz w:val="24"/>
          <w:highlight w:val="none"/>
        </w:rPr>
      </w:pPr>
      <w:r>
        <w:rPr>
          <w:rFonts w:hint="eastAsia"/>
          <w:color w:val="auto"/>
          <w:sz w:val="24"/>
          <w:highlight w:val="none"/>
        </w:rPr>
        <w:t>因货品质量、规格不符导致甲方无法正常使用、被第三方追责、产生返工 / 补发费用的，所有损失均由乙方承担，甲方有权从应付货款、保证金中直接抵扣。</w:t>
      </w:r>
    </w:p>
    <w:p w14:paraId="0BC138F6">
      <w:pPr>
        <w:autoSpaceDE w:val="0"/>
        <w:autoSpaceDN w:val="0"/>
        <w:snapToGrid w:val="0"/>
        <w:spacing w:line="360" w:lineRule="auto"/>
        <w:ind w:firstLine="480" w:firstLineChars="200"/>
        <w:contextualSpacing/>
        <w:jc w:val="left"/>
        <w:rPr>
          <w:rFonts w:hint="default" w:eastAsia="宋体"/>
          <w:color w:val="auto"/>
          <w:sz w:val="24"/>
          <w:highlight w:val="none"/>
          <w:lang w:val="en-US" w:eastAsia="zh-CN"/>
        </w:rPr>
      </w:pPr>
      <w:r>
        <w:rPr>
          <w:rFonts w:hint="eastAsia"/>
          <w:color w:val="auto"/>
          <w:sz w:val="24"/>
          <w:highlight w:val="none"/>
          <w:lang w:val="en-US" w:eastAsia="zh-CN"/>
        </w:rPr>
        <w:t>4、质保期限：2年；</w:t>
      </w:r>
    </w:p>
    <w:p w14:paraId="56C18F45">
      <w:pPr>
        <w:autoSpaceDE w:val="0"/>
        <w:autoSpaceDN w:val="0"/>
        <w:snapToGrid w:val="0"/>
        <w:spacing w:line="360" w:lineRule="auto"/>
        <w:ind w:firstLine="482" w:firstLineChars="200"/>
        <w:contextualSpacing/>
        <w:jc w:val="left"/>
        <w:rPr>
          <w:b/>
          <w:color w:val="auto"/>
          <w:kern w:val="0"/>
          <w:sz w:val="24"/>
          <w:highlight w:val="none"/>
        </w:rPr>
      </w:pPr>
      <w:r>
        <w:rPr>
          <w:b/>
          <w:color w:val="auto"/>
          <w:kern w:val="0"/>
          <w:sz w:val="24"/>
          <w:highlight w:val="none"/>
        </w:rPr>
        <w:t>五、验收</w:t>
      </w:r>
    </w:p>
    <w:p w14:paraId="5935C23F">
      <w:pPr>
        <w:pStyle w:val="20"/>
        <w:snapToGrid w:val="0"/>
        <w:spacing w:line="360" w:lineRule="auto"/>
        <w:ind w:left="0" w:leftChars="0" w:firstLine="480"/>
        <w:contextualSpacing/>
        <w:jc w:val="left"/>
        <w:rPr>
          <w:color w:val="auto"/>
          <w:sz w:val="24"/>
          <w:highlight w:val="none"/>
        </w:rPr>
      </w:pPr>
      <w:r>
        <w:rPr>
          <w:color w:val="auto"/>
          <w:sz w:val="24"/>
          <w:highlight w:val="none"/>
        </w:rPr>
        <w:t>1、甲方按照本合同第四条约定的标准及乙方提交的相关技术质量资料作为验收标准。</w:t>
      </w:r>
    </w:p>
    <w:p w14:paraId="695CD8CD">
      <w:pPr>
        <w:autoSpaceDE w:val="0"/>
        <w:autoSpaceDN w:val="0"/>
        <w:snapToGrid w:val="0"/>
        <w:spacing w:line="360" w:lineRule="auto"/>
        <w:ind w:firstLine="480" w:firstLineChars="200"/>
        <w:contextualSpacing/>
        <w:jc w:val="left"/>
        <w:rPr>
          <w:rFonts w:ascii="宋体" w:hAnsi="宋体" w:eastAsia="宋体" w:cs="宋体"/>
          <w:sz w:val="24"/>
          <w:szCs w:val="24"/>
        </w:rPr>
      </w:pPr>
      <w:r>
        <w:rPr>
          <w:color w:val="auto"/>
          <w:sz w:val="24"/>
          <w:highlight w:val="none"/>
        </w:rPr>
        <w:t>2、</w:t>
      </w:r>
      <w:r>
        <w:rPr>
          <w:rFonts w:hint="eastAsia"/>
          <w:color w:val="auto"/>
          <w:sz w:val="24"/>
          <w:highlight w:val="none"/>
        </w:rPr>
        <w:t>乙方交付货品的质量、外观、规格、型号、标识必须与甲方现有在用标识牌标准完全一致。首次交付不合格：甲方有权拒收整批货物，乙方立即向甲方支付违约金</w:t>
      </w:r>
      <w:r>
        <w:rPr>
          <w:rFonts w:hint="eastAsia"/>
          <w:color w:val="auto"/>
          <w:sz w:val="24"/>
          <w:highlight w:val="none"/>
          <w:lang w:val="en-US" w:eastAsia="zh-CN"/>
        </w:rPr>
        <w:t>5</w:t>
      </w:r>
      <w:r>
        <w:rPr>
          <w:rFonts w:hint="eastAsia"/>
          <w:color w:val="auto"/>
          <w:sz w:val="24"/>
          <w:highlight w:val="none"/>
        </w:rPr>
        <w:t xml:space="preserve">0000 元 / 次，并在3 个工作日内完成返工、重新交货。同一批次货品第二次交付仍不合格：除继续计收单次 </w:t>
      </w:r>
      <w:r>
        <w:rPr>
          <w:rFonts w:hint="eastAsia"/>
          <w:color w:val="auto"/>
          <w:sz w:val="24"/>
          <w:highlight w:val="none"/>
          <w:lang w:val="en-US" w:eastAsia="zh-CN"/>
        </w:rPr>
        <w:t>5</w:t>
      </w:r>
      <w:r>
        <w:rPr>
          <w:rFonts w:hint="eastAsia"/>
          <w:color w:val="auto"/>
          <w:sz w:val="24"/>
          <w:highlight w:val="none"/>
        </w:rPr>
        <w:t>0000 元违约金外，甲方有权扣除该批次全部货款，同时乙方需承担甲方因供货延误产生的一切损失。</w:t>
      </w:r>
      <w:r>
        <w:rPr>
          <w:rFonts w:ascii="宋体" w:hAnsi="宋体" w:eastAsia="宋体" w:cs="宋体"/>
          <w:sz w:val="24"/>
          <w:szCs w:val="24"/>
        </w:rPr>
        <w:t xml:space="preserve">同一违约事项累计发生 </w:t>
      </w:r>
      <w:r>
        <w:rPr>
          <w:rFonts w:hint="eastAsia" w:ascii="宋体" w:hAnsi="宋体" w:eastAsia="宋体" w:cs="宋体"/>
          <w:sz w:val="24"/>
          <w:szCs w:val="24"/>
          <w:lang w:val="en-US" w:eastAsia="zh-CN"/>
        </w:rPr>
        <w:t>3</w:t>
      </w:r>
      <w:r>
        <w:rPr>
          <w:rFonts w:ascii="宋体" w:hAnsi="宋体" w:eastAsia="宋体" w:cs="宋体"/>
          <w:sz w:val="24"/>
          <w:szCs w:val="24"/>
        </w:rPr>
        <w:t xml:space="preserve"> 次及以上违约行为的，甲方有权单方无条件解除本采购合同，合同解除后，乙方除承担前述各项赔偿及单次违约金外，还需另行按本合同总价款的 </w:t>
      </w:r>
      <w:r>
        <w:rPr>
          <w:rFonts w:hint="eastAsia" w:ascii="宋体" w:hAnsi="宋体" w:eastAsia="宋体" w:cs="宋体"/>
          <w:sz w:val="24"/>
          <w:szCs w:val="24"/>
          <w:lang w:val="en-US" w:eastAsia="zh-CN"/>
        </w:rPr>
        <w:t>30</w:t>
      </w:r>
      <w:r>
        <w:rPr>
          <w:rFonts w:ascii="宋体" w:hAnsi="宋体" w:eastAsia="宋体" w:cs="宋体"/>
          <w:sz w:val="24"/>
          <w:szCs w:val="24"/>
        </w:rPr>
        <w:t>% 向甲方支付解约违约金。</w:t>
      </w:r>
    </w:p>
    <w:p w14:paraId="1159E2E9">
      <w:pPr>
        <w:pStyle w:val="20"/>
        <w:snapToGrid w:val="0"/>
        <w:spacing w:line="360" w:lineRule="auto"/>
        <w:ind w:left="0" w:leftChars="0" w:firstLine="480"/>
        <w:contextualSpacing/>
        <w:jc w:val="left"/>
        <w:rPr>
          <w:color w:val="auto"/>
          <w:sz w:val="24"/>
          <w:highlight w:val="none"/>
        </w:rPr>
      </w:pPr>
      <w:r>
        <w:rPr>
          <w:color w:val="auto"/>
          <w:sz w:val="24"/>
          <w:highlight w:val="none"/>
        </w:rPr>
        <w:t>3、乙方将货物送至指定地点后，由甲方指派的收货联系人对数量和包装进行初步验收，数量以甲方</w:t>
      </w:r>
      <w:r>
        <w:rPr>
          <w:rFonts w:hint="eastAsia"/>
          <w:color w:val="auto"/>
          <w:sz w:val="24"/>
          <w:highlight w:val="none"/>
          <w:u w:val="single"/>
        </w:rPr>
        <w:t xml:space="preserve">  </w:t>
      </w:r>
      <w:r>
        <w:rPr>
          <w:rFonts w:hint="eastAsia"/>
          <w:color w:val="auto"/>
          <w:sz w:val="24"/>
          <w:highlight w:val="none"/>
          <w:u w:val="single"/>
          <w:lang w:val="en-US" w:eastAsia="zh-CN"/>
        </w:rPr>
        <w:t xml:space="preserve">签收数量为准    </w:t>
      </w:r>
      <w:r>
        <w:rPr>
          <w:rFonts w:hint="eastAsia"/>
          <w:color w:val="auto"/>
          <w:sz w:val="24"/>
          <w:highlight w:val="none"/>
          <w:u w:val="single"/>
        </w:rPr>
        <w:t xml:space="preserve">  </w:t>
      </w:r>
      <w:r>
        <w:rPr>
          <w:color w:val="auto"/>
          <w:sz w:val="24"/>
          <w:highlight w:val="none"/>
        </w:rPr>
        <w:t>，核对后双方人员在送货单上签字确认，送货单一式两联，甲、乙双方各持一联，作为收货数量的结算依据。</w:t>
      </w:r>
    </w:p>
    <w:p w14:paraId="047DDDAD">
      <w:pPr>
        <w:pStyle w:val="20"/>
        <w:snapToGrid w:val="0"/>
        <w:spacing w:line="360" w:lineRule="auto"/>
        <w:ind w:left="0" w:leftChars="0" w:firstLine="480"/>
        <w:contextualSpacing/>
        <w:jc w:val="left"/>
        <w:rPr>
          <w:color w:val="auto"/>
          <w:sz w:val="24"/>
          <w:highlight w:val="none"/>
        </w:rPr>
      </w:pPr>
      <w:r>
        <w:rPr>
          <w:color w:val="auto"/>
          <w:sz w:val="24"/>
          <w:highlight w:val="none"/>
        </w:rPr>
        <w:t>4、甲方如对表面质量状况有异议，应在收到货物后7个工作日内向乙方提出；</w:t>
      </w:r>
      <w:r>
        <w:rPr>
          <w:rFonts w:hint="eastAsia"/>
          <w:color w:val="auto"/>
          <w:sz w:val="24"/>
          <w:highlight w:val="none"/>
        </w:rPr>
        <w:t>甲方对表面质量状况未提出异议，不视为对货物本身质量的确认。</w:t>
      </w:r>
      <w:r>
        <w:rPr>
          <w:color w:val="auto"/>
          <w:sz w:val="24"/>
          <w:highlight w:val="none"/>
        </w:rPr>
        <w:t>如货物存在质量问题，则甲方可在质量保证期内或在合理使用期限内提出。</w:t>
      </w:r>
    </w:p>
    <w:p w14:paraId="0B3AE928">
      <w:pPr>
        <w:pStyle w:val="20"/>
        <w:snapToGrid w:val="0"/>
        <w:spacing w:line="360" w:lineRule="auto"/>
        <w:ind w:left="0" w:leftChars="0" w:firstLine="480"/>
        <w:contextualSpacing/>
        <w:rPr>
          <w:rFonts w:hint="default"/>
          <w:b/>
          <w:color w:val="auto"/>
          <w:kern w:val="0"/>
          <w:sz w:val="24"/>
          <w:highlight w:val="none"/>
          <w:lang w:val="en-US"/>
        </w:rPr>
      </w:pPr>
      <w:r>
        <w:rPr>
          <w:rFonts w:hint="eastAsia"/>
          <w:b/>
          <w:color w:val="auto"/>
          <w:kern w:val="0"/>
          <w:sz w:val="24"/>
          <w:highlight w:val="none"/>
          <w:lang w:val="en-US" w:eastAsia="zh-CN"/>
        </w:rPr>
        <w:t>六</w:t>
      </w:r>
      <w:r>
        <w:rPr>
          <w:b/>
          <w:color w:val="auto"/>
          <w:kern w:val="0"/>
          <w:sz w:val="24"/>
          <w:highlight w:val="none"/>
        </w:rPr>
        <w:t>、</w:t>
      </w:r>
      <w:r>
        <w:rPr>
          <w:rFonts w:hint="default"/>
          <w:b/>
          <w:color w:val="auto"/>
          <w:kern w:val="0"/>
          <w:sz w:val="24"/>
          <w:highlight w:val="none"/>
          <w:lang w:val="en-US"/>
        </w:rPr>
        <w:t>营改增特别条款</w:t>
      </w:r>
    </w:p>
    <w:p w14:paraId="6A68C5A3">
      <w:pPr>
        <w:pStyle w:val="20"/>
        <w:snapToGrid w:val="0"/>
        <w:spacing w:line="360" w:lineRule="auto"/>
        <w:ind w:left="0" w:leftChars="0" w:firstLine="480"/>
        <w:contextualSpacing/>
        <w:rPr>
          <w:color w:val="auto"/>
          <w:kern w:val="0"/>
          <w:sz w:val="24"/>
          <w:highlight w:val="none"/>
        </w:rPr>
      </w:pPr>
      <w:r>
        <w:rPr>
          <w:rFonts w:hint="eastAsia"/>
          <w:color w:val="auto"/>
          <w:kern w:val="0"/>
          <w:sz w:val="24"/>
          <w:highlight w:val="none"/>
        </w:rPr>
        <w:t>1、双方基本信息</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3932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single" w:color="auto" w:sz="12" w:space="0"/>
              <w:left w:val="single" w:color="auto" w:sz="12" w:space="0"/>
            </w:tcBorders>
            <w:noWrap w:val="0"/>
            <w:vAlign w:val="center"/>
          </w:tcPr>
          <w:p w14:paraId="6A93F034">
            <w:pPr>
              <w:spacing w:line="360" w:lineRule="auto"/>
              <w:jc w:val="center"/>
              <w:rPr>
                <w:rFonts w:ascii="宋体" w:hAnsi="宋体"/>
                <w:b/>
                <w:color w:val="auto"/>
                <w:sz w:val="24"/>
                <w:highlight w:val="none"/>
              </w:rPr>
            </w:pPr>
            <w:r>
              <w:rPr>
                <w:rFonts w:hint="eastAsia" w:ascii="宋体" w:hAnsi="宋体"/>
                <w:b/>
                <w:color w:val="auto"/>
                <w:sz w:val="24"/>
                <w:highlight w:val="none"/>
              </w:rPr>
              <w:t>甲方</w:t>
            </w:r>
          </w:p>
        </w:tc>
        <w:tc>
          <w:tcPr>
            <w:tcW w:w="1845" w:type="dxa"/>
            <w:tcBorders>
              <w:top w:val="single" w:color="auto" w:sz="12" w:space="0"/>
            </w:tcBorders>
            <w:noWrap w:val="0"/>
            <w:vAlign w:val="top"/>
          </w:tcPr>
          <w:p w14:paraId="4E45D9C0">
            <w:pPr>
              <w:spacing w:line="360" w:lineRule="auto"/>
              <w:rPr>
                <w:rFonts w:ascii="宋体" w:hAnsi="宋体"/>
                <w:color w:val="auto"/>
                <w:sz w:val="24"/>
                <w:highlight w:val="none"/>
              </w:rPr>
            </w:pPr>
            <w:r>
              <w:rPr>
                <w:rFonts w:hint="eastAsia" w:ascii="宋体" w:hAnsi="宋体"/>
                <w:color w:val="auto"/>
                <w:sz w:val="24"/>
                <w:highlight w:val="none"/>
              </w:rPr>
              <w:t>名        称</w:t>
            </w:r>
          </w:p>
        </w:tc>
        <w:tc>
          <w:tcPr>
            <w:tcW w:w="6143" w:type="dxa"/>
            <w:tcBorders>
              <w:top w:val="single" w:color="auto" w:sz="12" w:space="0"/>
              <w:right w:val="single" w:color="auto" w:sz="12" w:space="0"/>
            </w:tcBorders>
            <w:noWrap w:val="0"/>
            <w:vAlign w:val="top"/>
          </w:tcPr>
          <w:p w14:paraId="43AB9E5D">
            <w:pPr>
              <w:spacing w:line="360" w:lineRule="auto"/>
              <w:rPr>
                <w:rFonts w:ascii="宋体" w:hAnsi="宋体"/>
                <w:color w:val="auto"/>
                <w:sz w:val="24"/>
                <w:highlight w:val="none"/>
              </w:rPr>
            </w:pPr>
            <w:r>
              <w:rPr>
                <w:rFonts w:hint="eastAsia" w:ascii="宋体" w:hAnsi="宋体"/>
                <w:color w:val="auto"/>
                <w:sz w:val="24"/>
                <w:highlight w:val="none"/>
              </w:rPr>
              <w:t>浙江钱塘江水利建筑工程有限公司青田分公司</w:t>
            </w:r>
          </w:p>
        </w:tc>
      </w:tr>
      <w:tr w14:paraId="6650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261DA853">
            <w:pPr>
              <w:spacing w:line="360" w:lineRule="auto"/>
              <w:jc w:val="center"/>
              <w:rPr>
                <w:rFonts w:ascii="宋体" w:hAnsi="宋体"/>
                <w:b/>
                <w:color w:val="auto"/>
                <w:sz w:val="24"/>
                <w:highlight w:val="none"/>
              </w:rPr>
            </w:pPr>
          </w:p>
        </w:tc>
        <w:tc>
          <w:tcPr>
            <w:tcW w:w="1845" w:type="dxa"/>
            <w:noWrap w:val="0"/>
            <w:vAlign w:val="top"/>
          </w:tcPr>
          <w:p w14:paraId="6EF92BA1">
            <w:pPr>
              <w:spacing w:line="360" w:lineRule="auto"/>
              <w:rPr>
                <w:rFonts w:ascii="宋体" w:hAnsi="宋体"/>
                <w:color w:val="auto"/>
                <w:sz w:val="24"/>
                <w:highlight w:val="none"/>
              </w:rPr>
            </w:pPr>
            <w:r>
              <w:rPr>
                <w:rFonts w:hint="eastAsia" w:ascii="宋体" w:hAnsi="宋体"/>
                <w:color w:val="auto"/>
                <w:sz w:val="24"/>
                <w:highlight w:val="none"/>
              </w:rPr>
              <w:t>纳税人身份</w:t>
            </w:r>
          </w:p>
        </w:tc>
        <w:tc>
          <w:tcPr>
            <w:tcW w:w="6143" w:type="dxa"/>
            <w:tcBorders>
              <w:right w:val="single" w:color="auto" w:sz="12" w:space="0"/>
            </w:tcBorders>
            <w:noWrap w:val="0"/>
            <w:vAlign w:val="top"/>
          </w:tcPr>
          <w:p w14:paraId="00856548">
            <w:pPr>
              <w:spacing w:line="360" w:lineRule="auto"/>
              <w:rPr>
                <w:rFonts w:ascii="宋体" w:hAnsi="宋体"/>
                <w:color w:val="auto"/>
                <w:sz w:val="24"/>
                <w:highlight w:val="none"/>
              </w:rPr>
            </w:pPr>
            <w:r>
              <w:rPr>
                <w:rFonts w:hint="eastAsia" w:ascii="宋体" w:hAnsi="宋体" w:eastAsia="宋体" w:cs="黑体"/>
                <w:color w:val="auto"/>
                <w:sz w:val="22"/>
                <w:szCs w:val="22"/>
                <w:highlight w:val="none"/>
                <w:lang w:eastAsia="zh-CN"/>
              </w:rPr>
              <w:t>☑</w:t>
            </w:r>
            <w:r>
              <w:rPr>
                <w:rFonts w:hint="eastAsia" w:ascii="宋体" w:hAnsi="宋体"/>
                <w:color w:val="auto"/>
                <w:sz w:val="24"/>
                <w:highlight w:val="none"/>
              </w:rPr>
              <w:t>一般纳税人    □小规模纳税人（请勾选）</w:t>
            </w:r>
          </w:p>
        </w:tc>
      </w:tr>
      <w:tr w14:paraId="5D10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695EEE4E">
            <w:pPr>
              <w:spacing w:line="360" w:lineRule="auto"/>
              <w:jc w:val="center"/>
              <w:rPr>
                <w:rFonts w:ascii="宋体" w:hAnsi="宋体"/>
                <w:b/>
                <w:color w:val="auto"/>
                <w:sz w:val="24"/>
                <w:highlight w:val="none"/>
              </w:rPr>
            </w:pPr>
          </w:p>
        </w:tc>
        <w:tc>
          <w:tcPr>
            <w:tcW w:w="1845" w:type="dxa"/>
            <w:noWrap w:val="0"/>
            <w:vAlign w:val="top"/>
          </w:tcPr>
          <w:p w14:paraId="10D69F4B">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7C263F71">
            <w:pPr>
              <w:spacing w:line="360" w:lineRule="auto"/>
              <w:rPr>
                <w:rFonts w:ascii="宋体" w:hAnsi="宋体"/>
                <w:color w:val="auto"/>
                <w:sz w:val="24"/>
                <w:highlight w:val="none"/>
              </w:rPr>
            </w:pPr>
            <w:r>
              <w:rPr>
                <w:rFonts w:hint="eastAsia" w:ascii="宋体" w:hAnsi="宋体"/>
                <w:color w:val="auto"/>
                <w:sz w:val="24"/>
                <w:highlight w:val="none"/>
              </w:rPr>
              <w:t>91331121MA7G7AWE8F</w:t>
            </w:r>
          </w:p>
        </w:tc>
      </w:tr>
      <w:tr w14:paraId="7052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76577858">
            <w:pPr>
              <w:spacing w:line="360" w:lineRule="auto"/>
              <w:jc w:val="center"/>
              <w:rPr>
                <w:rFonts w:ascii="宋体" w:hAnsi="宋体"/>
                <w:b/>
                <w:color w:val="auto"/>
                <w:sz w:val="24"/>
                <w:highlight w:val="none"/>
              </w:rPr>
            </w:pPr>
          </w:p>
        </w:tc>
        <w:tc>
          <w:tcPr>
            <w:tcW w:w="1845" w:type="dxa"/>
            <w:noWrap w:val="0"/>
            <w:vAlign w:val="top"/>
          </w:tcPr>
          <w:p w14:paraId="4A66A91C">
            <w:pPr>
              <w:spacing w:line="360" w:lineRule="auto"/>
              <w:rPr>
                <w:rFonts w:ascii="宋体" w:hAnsi="宋体"/>
                <w:color w:val="auto"/>
                <w:sz w:val="24"/>
                <w:highlight w:val="none"/>
              </w:rPr>
            </w:pPr>
            <w:r>
              <w:rPr>
                <w:rFonts w:hint="eastAsia" w:ascii="宋体" w:hAnsi="宋体"/>
                <w:color w:val="auto"/>
                <w:sz w:val="24"/>
                <w:highlight w:val="none"/>
              </w:rPr>
              <w:t>地 址、电 话</w:t>
            </w:r>
          </w:p>
        </w:tc>
        <w:tc>
          <w:tcPr>
            <w:tcW w:w="6143" w:type="dxa"/>
            <w:tcBorders>
              <w:right w:val="single" w:color="auto" w:sz="12" w:space="0"/>
            </w:tcBorders>
            <w:noWrap w:val="0"/>
            <w:vAlign w:val="top"/>
          </w:tcPr>
          <w:p w14:paraId="4295A9C2">
            <w:pPr>
              <w:spacing w:line="360" w:lineRule="auto"/>
              <w:rPr>
                <w:rFonts w:ascii="宋体" w:hAnsi="宋体"/>
                <w:color w:val="auto"/>
                <w:sz w:val="24"/>
                <w:highlight w:val="none"/>
              </w:rPr>
            </w:pPr>
            <w:r>
              <w:rPr>
                <w:rFonts w:hint="eastAsia"/>
                <w:color w:val="auto"/>
                <w:highlight w:val="none"/>
              </w:rPr>
              <w:t>浙江省丽水市青田县鹤城街道高湾小区27幢2单元1001室</w:t>
            </w:r>
          </w:p>
        </w:tc>
      </w:tr>
      <w:tr w14:paraId="2EA5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double" w:color="auto" w:sz="4" w:space="0"/>
            </w:tcBorders>
            <w:noWrap w:val="0"/>
            <w:vAlign w:val="center"/>
          </w:tcPr>
          <w:p w14:paraId="0796EC22">
            <w:pPr>
              <w:spacing w:line="360" w:lineRule="auto"/>
              <w:jc w:val="center"/>
              <w:rPr>
                <w:rFonts w:ascii="宋体" w:hAnsi="宋体"/>
                <w:b/>
                <w:color w:val="auto"/>
                <w:sz w:val="24"/>
                <w:highlight w:val="none"/>
              </w:rPr>
            </w:pPr>
          </w:p>
        </w:tc>
        <w:tc>
          <w:tcPr>
            <w:tcW w:w="1845" w:type="dxa"/>
            <w:tcBorders>
              <w:bottom w:val="double" w:color="auto" w:sz="4" w:space="0"/>
            </w:tcBorders>
            <w:noWrap w:val="0"/>
            <w:vAlign w:val="top"/>
          </w:tcPr>
          <w:p w14:paraId="6FD464A3">
            <w:pPr>
              <w:spacing w:line="360" w:lineRule="auto"/>
              <w:rPr>
                <w:rFonts w:ascii="宋体" w:hAnsi="宋体"/>
                <w:color w:val="auto"/>
                <w:sz w:val="24"/>
                <w:highlight w:val="none"/>
              </w:rPr>
            </w:pPr>
            <w:r>
              <w:rPr>
                <w:rFonts w:hint="eastAsia" w:ascii="宋体" w:hAnsi="宋体"/>
                <w:color w:val="auto"/>
                <w:sz w:val="24"/>
                <w:highlight w:val="none"/>
              </w:rPr>
              <w:t>开户行及账号</w:t>
            </w:r>
          </w:p>
        </w:tc>
        <w:tc>
          <w:tcPr>
            <w:tcW w:w="6143" w:type="dxa"/>
            <w:tcBorders>
              <w:bottom w:val="double" w:color="auto" w:sz="4" w:space="0"/>
              <w:right w:val="single" w:color="auto" w:sz="12" w:space="0"/>
            </w:tcBorders>
            <w:noWrap w:val="0"/>
            <w:vAlign w:val="top"/>
          </w:tcPr>
          <w:p w14:paraId="7B418087">
            <w:pPr>
              <w:spacing w:line="360" w:lineRule="auto"/>
              <w:rPr>
                <w:rFonts w:ascii="宋体" w:hAnsi="宋体"/>
                <w:color w:val="auto"/>
                <w:sz w:val="24"/>
                <w:highlight w:val="none"/>
              </w:rPr>
            </w:pPr>
            <w:r>
              <w:rPr>
                <w:rFonts w:hint="eastAsia" w:ascii="宋体" w:hAnsi="宋体" w:eastAsia="宋体" w:cs="黑体"/>
                <w:color w:val="auto"/>
                <w:sz w:val="22"/>
                <w:szCs w:val="22"/>
                <w:highlight w:val="none"/>
              </w:rPr>
              <w:t>中国农业银行股份有限公司青田县支行19845101040025582</w:t>
            </w:r>
          </w:p>
        </w:tc>
      </w:tr>
      <w:tr w14:paraId="33AA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double" w:color="auto" w:sz="4" w:space="0"/>
              <w:left w:val="single" w:color="auto" w:sz="12" w:space="0"/>
            </w:tcBorders>
            <w:noWrap w:val="0"/>
            <w:vAlign w:val="center"/>
          </w:tcPr>
          <w:p w14:paraId="2CAB752A">
            <w:pPr>
              <w:spacing w:line="360" w:lineRule="auto"/>
              <w:jc w:val="center"/>
              <w:rPr>
                <w:rFonts w:ascii="宋体" w:hAnsi="宋体"/>
                <w:b/>
                <w:color w:val="auto"/>
                <w:sz w:val="24"/>
                <w:highlight w:val="none"/>
              </w:rPr>
            </w:pPr>
            <w:r>
              <w:rPr>
                <w:rFonts w:hint="eastAsia" w:ascii="宋体" w:hAnsi="宋体"/>
                <w:b/>
                <w:color w:val="auto"/>
                <w:sz w:val="24"/>
                <w:highlight w:val="none"/>
              </w:rPr>
              <w:t>乙方</w:t>
            </w:r>
          </w:p>
        </w:tc>
        <w:tc>
          <w:tcPr>
            <w:tcW w:w="1845" w:type="dxa"/>
            <w:tcBorders>
              <w:top w:val="double" w:color="auto" w:sz="4" w:space="0"/>
            </w:tcBorders>
            <w:noWrap w:val="0"/>
            <w:vAlign w:val="top"/>
          </w:tcPr>
          <w:p w14:paraId="0CD6EB8F">
            <w:pPr>
              <w:spacing w:line="360" w:lineRule="auto"/>
              <w:rPr>
                <w:rFonts w:ascii="宋体" w:hAnsi="宋体"/>
                <w:color w:val="auto"/>
                <w:sz w:val="24"/>
                <w:highlight w:val="none"/>
              </w:rPr>
            </w:pPr>
            <w:r>
              <w:rPr>
                <w:rFonts w:hint="eastAsia" w:ascii="宋体" w:hAnsi="宋体"/>
                <w:color w:val="auto"/>
                <w:sz w:val="24"/>
                <w:highlight w:val="none"/>
              </w:rPr>
              <w:t>名        称</w:t>
            </w:r>
          </w:p>
        </w:tc>
        <w:tc>
          <w:tcPr>
            <w:tcW w:w="6143" w:type="dxa"/>
            <w:tcBorders>
              <w:top w:val="double" w:color="auto" w:sz="4" w:space="0"/>
              <w:right w:val="single" w:color="auto" w:sz="12" w:space="0"/>
            </w:tcBorders>
            <w:noWrap w:val="0"/>
            <w:vAlign w:val="top"/>
          </w:tcPr>
          <w:p w14:paraId="68492D7E">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r w14:paraId="4066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34" w:type="dxa"/>
            <w:vMerge w:val="continue"/>
            <w:tcBorders>
              <w:left w:val="single" w:color="auto" w:sz="12" w:space="0"/>
            </w:tcBorders>
            <w:noWrap w:val="0"/>
            <w:vAlign w:val="top"/>
          </w:tcPr>
          <w:p w14:paraId="67C4EA45">
            <w:pPr>
              <w:spacing w:line="360" w:lineRule="auto"/>
              <w:rPr>
                <w:rFonts w:ascii="宋体" w:hAnsi="宋体"/>
                <w:color w:val="auto"/>
                <w:sz w:val="24"/>
                <w:highlight w:val="none"/>
              </w:rPr>
            </w:pPr>
          </w:p>
        </w:tc>
        <w:tc>
          <w:tcPr>
            <w:tcW w:w="1845" w:type="dxa"/>
            <w:noWrap w:val="0"/>
            <w:vAlign w:val="top"/>
          </w:tcPr>
          <w:p w14:paraId="554A28ED">
            <w:pPr>
              <w:spacing w:line="360" w:lineRule="auto"/>
              <w:rPr>
                <w:rFonts w:ascii="宋体" w:hAnsi="宋体"/>
                <w:color w:val="auto"/>
                <w:sz w:val="24"/>
                <w:highlight w:val="none"/>
              </w:rPr>
            </w:pPr>
            <w:r>
              <w:rPr>
                <w:rFonts w:hint="eastAsia" w:ascii="宋体" w:hAnsi="宋体"/>
                <w:color w:val="auto"/>
                <w:sz w:val="24"/>
                <w:highlight w:val="none"/>
              </w:rPr>
              <w:t>纳税人身份</w:t>
            </w:r>
          </w:p>
        </w:tc>
        <w:tc>
          <w:tcPr>
            <w:tcW w:w="6143" w:type="dxa"/>
            <w:tcBorders>
              <w:right w:val="single" w:color="auto" w:sz="12" w:space="0"/>
            </w:tcBorders>
            <w:noWrap w:val="0"/>
            <w:vAlign w:val="top"/>
          </w:tcPr>
          <w:p w14:paraId="08DAD5F8">
            <w:pPr>
              <w:spacing w:line="360" w:lineRule="auto"/>
              <w:rPr>
                <w:rFonts w:hint="eastAsia" w:ascii="仿宋" w:hAnsi="仿宋" w:eastAsia="仿宋" w:cs="仿宋"/>
                <w:color w:val="auto"/>
                <w:sz w:val="24"/>
                <w:szCs w:val="24"/>
                <w:highlight w:val="none"/>
              </w:rPr>
            </w:pPr>
            <w:r>
              <w:rPr>
                <w:rFonts w:hint="eastAsia" w:ascii="宋体" w:hAnsi="宋体" w:eastAsia="宋体" w:cs="黑体"/>
                <w:color w:val="auto"/>
                <w:sz w:val="22"/>
                <w:szCs w:val="22"/>
                <w:highlight w:val="none"/>
                <w:lang w:eastAsia="zh-CN"/>
              </w:rPr>
              <w:t>□</w:t>
            </w:r>
            <w:r>
              <w:rPr>
                <w:rFonts w:hint="eastAsia" w:ascii="宋体" w:hAnsi="宋体" w:eastAsia="宋体" w:cs="黑体"/>
                <w:color w:val="auto"/>
                <w:sz w:val="22"/>
                <w:szCs w:val="22"/>
                <w:highlight w:val="none"/>
              </w:rPr>
              <w:t xml:space="preserve">一般纳税人    </w:t>
            </w:r>
            <w:r>
              <w:rPr>
                <w:rFonts w:hint="eastAsia" w:ascii="宋体" w:hAnsi="宋体" w:eastAsia="宋体" w:cs="黑体"/>
                <w:color w:val="auto"/>
                <w:sz w:val="22"/>
                <w:szCs w:val="22"/>
                <w:highlight w:val="none"/>
                <w:lang w:eastAsia="zh-CN"/>
              </w:rPr>
              <w:t>□</w:t>
            </w:r>
            <w:r>
              <w:rPr>
                <w:rFonts w:hint="eastAsia" w:ascii="宋体" w:hAnsi="宋体" w:eastAsia="宋体" w:cs="黑体"/>
                <w:color w:val="auto"/>
                <w:sz w:val="22"/>
                <w:szCs w:val="22"/>
                <w:highlight w:val="none"/>
              </w:rPr>
              <w:t>小规模纳税人（请勾选）</w:t>
            </w:r>
          </w:p>
        </w:tc>
      </w:tr>
      <w:tr w14:paraId="47DD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1FA219CE">
            <w:pPr>
              <w:spacing w:line="360" w:lineRule="auto"/>
              <w:rPr>
                <w:rFonts w:ascii="宋体" w:hAnsi="宋体"/>
                <w:color w:val="auto"/>
                <w:sz w:val="24"/>
                <w:highlight w:val="none"/>
              </w:rPr>
            </w:pPr>
          </w:p>
        </w:tc>
        <w:tc>
          <w:tcPr>
            <w:tcW w:w="1845" w:type="dxa"/>
            <w:noWrap w:val="0"/>
            <w:vAlign w:val="top"/>
          </w:tcPr>
          <w:p w14:paraId="0F07A6FB">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560AB5AC">
            <w:pPr>
              <w:spacing w:line="360" w:lineRule="auto"/>
              <w:rPr>
                <w:rFonts w:hint="default"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 xml:space="preserve"> </w:t>
            </w:r>
          </w:p>
        </w:tc>
      </w:tr>
      <w:tr w14:paraId="0C9B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4" w:type="dxa"/>
            <w:vMerge w:val="continue"/>
            <w:tcBorders>
              <w:left w:val="single" w:color="auto" w:sz="12" w:space="0"/>
            </w:tcBorders>
            <w:noWrap w:val="0"/>
            <w:vAlign w:val="top"/>
          </w:tcPr>
          <w:p w14:paraId="40629D2A">
            <w:pPr>
              <w:spacing w:line="360" w:lineRule="auto"/>
              <w:rPr>
                <w:rFonts w:ascii="宋体" w:hAnsi="宋体"/>
                <w:color w:val="auto"/>
                <w:sz w:val="24"/>
                <w:highlight w:val="none"/>
              </w:rPr>
            </w:pPr>
          </w:p>
        </w:tc>
        <w:tc>
          <w:tcPr>
            <w:tcW w:w="1845" w:type="dxa"/>
            <w:noWrap w:val="0"/>
            <w:vAlign w:val="top"/>
          </w:tcPr>
          <w:p w14:paraId="2A0818BD">
            <w:pPr>
              <w:spacing w:line="360" w:lineRule="auto"/>
              <w:rPr>
                <w:rFonts w:ascii="宋体" w:hAnsi="宋体"/>
                <w:color w:val="auto"/>
                <w:sz w:val="24"/>
                <w:highlight w:val="none"/>
              </w:rPr>
            </w:pPr>
            <w:r>
              <w:rPr>
                <w:rFonts w:hint="eastAsia" w:ascii="宋体" w:hAnsi="宋体"/>
                <w:color w:val="auto"/>
                <w:sz w:val="24"/>
                <w:highlight w:val="none"/>
              </w:rPr>
              <w:t>地 址、电 话</w:t>
            </w:r>
          </w:p>
        </w:tc>
        <w:tc>
          <w:tcPr>
            <w:tcW w:w="6143" w:type="dxa"/>
            <w:tcBorders>
              <w:right w:val="single" w:color="auto" w:sz="12" w:space="0"/>
            </w:tcBorders>
            <w:noWrap w:val="0"/>
            <w:vAlign w:val="top"/>
          </w:tcPr>
          <w:p w14:paraId="5E41CBD0">
            <w:pPr>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r w14:paraId="45DD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single" w:color="auto" w:sz="12" w:space="0"/>
            </w:tcBorders>
            <w:noWrap w:val="0"/>
            <w:vAlign w:val="top"/>
          </w:tcPr>
          <w:p w14:paraId="4300CE2C">
            <w:pPr>
              <w:spacing w:line="360" w:lineRule="auto"/>
              <w:rPr>
                <w:rFonts w:ascii="宋体" w:hAnsi="宋体"/>
                <w:color w:val="auto"/>
                <w:sz w:val="24"/>
                <w:highlight w:val="none"/>
              </w:rPr>
            </w:pPr>
          </w:p>
        </w:tc>
        <w:tc>
          <w:tcPr>
            <w:tcW w:w="1845" w:type="dxa"/>
            <w:tcBorders>
              <w:bottom w:val="single" w:color="auto" w:sz="12" w:space="0"/>
            </w:tcBorders>
            <w:noWrap w:val="0"/>
            <w:vAlign w:val="top"/>
          </w:tcPr>
          <w:p w14:paraId="73DAE9E0">
            <w:pPr>
              <w:spacing w:line="360" w:lineRule="auto"/>
              <w:rPr>
                <w:rFonts w:ascii="宋体" w:hAnsi="宋体"/>
                <w:color w:val="auto"/>
                <w:sz w:val="24"/>
                <w:highlight w:val="none"/>
              </w:rPr>
            </w:pPr>
            <w:r>
              <w:rPr>
                <w:rFonts w:hint="eastAsia" w:ascii="宋体" w:hAnsi="宋体"/>
                <w:color w:val="auto"/>
                <w:sz w:val="24"/>
                <w:highlight w:val="none"/>
              </w:rPr>
              <w:t>开户行及账号</w:t>
            </w:r>
          </w:p>
        </w:tc>
        <w:tc>
          <w:tcPr>
            <w:tcW w:w="6143" w:type="dxa"/>
            <w:tcBorders>
              <w:bottom w:val="single" w:color="auto" w:sz="12" w:space="0"/>
              <w:right w:val="single" w:color="auto" w:sz="12" w:space="0"/>
            </w:tcBorders>
            <w:noWrap w:val="0"/>
            <w:vAlign w:val="top"/>
          </w:tcPr>
          <w:p w14:paraId="4C8125C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p>
        </w:tc>
      </w:tr>
    </w:tbl>
    <w:p w14:paraId="5EEE1728">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任何一方如上述信息发生变更，应提前十日以书面方式通知另一方。如一方未按本合同规定通知而使另一方遭受损失的，应予以赔偿。</w:t>
      </w:r>
    </w:p>
    <w:p w14:paraId="5F73044F">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2、本合同所涉应税行为计税方法（请勾选）</w:t>
      </w:r>
    </w:p>
    <w:p w14:paraId="62D957DD">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lang w:eastAsia="zh-CN"/>
        </w:rPr>
        <w:t>□</w:t>
      </w:r>
      <w:r>
        <w:rPr>
          <w:rFonts w:hint="eastAsia"/>
          <w:color w:val="auto"/>
          <w:kern w:val="0"/>
          <w:sz w:val="24"/>
          <w:highlight w:val="none"/>
        </w:rPr>
        <w:t xml:space="preserve">一般计税方法    </w:t>
      </w:r>
      <w:r>
        <w:rPr>
          <w:rFonts w:hint="eastAsia"/>
          <w:color w:val="auto"/>
          <w:kern w:val="0"/>
          <w:sz w:val="24"/>
          <w:highlight w:val="none"/>
          <w:lang w:eastAsia="zh-CN"/>
        </w:rPr>
        <w:t>□</w:t>
      </w:r>
      <w:r>
        <w:rPr>
          <w:rFonts w:hint="eastAsia"/>
          <w:color w:val="auto"/>
          <w:kern w:val="0"/>
          <w:sz w:val="24"/>
          <w:highlight w:val="none"/>
        </w:rPr>
        <w:t>简易计税方法</w:t>
      </w:r>
    </w:p>
    <w:p w14:paraId="2DA4EB48">
      <w:pPr>
        <w:autoSpaceDE w:val="0"/>
        <w:autoSpaceDN w:val="0"/>
        <w:snapToGrid w:val="0"/>
        <w:spacing w:line="360" w:lineRule="auto"/>
        <w:ind w:firstLine="480" w:firstLineChars="200"/>
        <w:contextualSpacing/>
        <w:jc w:val="left"/>
        <w:rPr>
          <w:rFonts w:hint="eastAsia" w:eastAsia="宋体"/>
          <w:color w:val="auto"/>
          <w:kern w:val="0"/>
          <w:sz w:val="24"/>
          <w:highlight w:val="none"/>
          <w:lang w:val="en-US" w:eastAsia="zh-CN"/>
        </w:rPr>
      </w:pPr>
      <w:r>
        <w:rPr>
          <w:rFonts w:hint="eastAsia"/>
          <w:color w:val="auto"/>
          <w:kern w:val="0"/>
          <w:sz w:val="24"/>
          <w:highlight w:val="none"/>
        </w:rPr>
        <w:t>3、乙方在向甲方请款时，应根据甲方确认的付款数额开具合法、有效、完整、准确的增值税（请勾选：</w:t>
      </w:r>
      <w:r>
        <w:rPr>
          <w:rFonts w:hint="eastAsia"/>
          <w:color w:val="auto"/>
          <w:kern w:val="0"/>
          <w:sz w:val="24"/>
          <w:highlight w:val="none"/>
          <w:lang w:eastAsia="zh-CN"/>
        </w:rPr>
        <w:t>□</w:t>
      </w:r>
      <w:r>
        <w:rPr>
          <w:rFonts w:hint="eastAsia"/>
          <w:color w:val="auto"/>
          <w:kern w:val="0"/>
          <w:sz w:val="24"/>
          <w:highlight w:val="none"/>
        </w:rPr>
        <w:t>专用    □普通）发票</w:t>
      </w:r>
      <w:r>
        <w:rPr>
          <w:rFonts w:hint="eastAsia"/>
          <w:color w:val="auto"/>
          <w:kern w:val="0"/>
          <w:sz w:val="24"/>
          <w:highlight w:val="none"/>
          <w:lang w:eastAsia="zh-CN"/>
        </w:rPr>
        <w:t>。</w:t>
      </w:r>
      <w:r>
        <w:rPr>
          <w:rFonts w:hint="eastAsia"/>
          <w:color w:val="auto"/>
          <w:kern w:val="0"/>
          <w:sz w:val="24"/>
          <w:highlight w:val="none"/>
          <w:lang w:val="en-US" w:eastAsia="zh-CN"/>
        </w:rPr>
        <w:t>税率为</w:t>
      </w:r>
      <w:r>
        <w:rPr>
          <w:rFonts w:hint="eastAsia"/>
          <w:color w:val="auto"/>
          <w:kern w:val="0"/>
          <w:sz w:val="24"/>
          <w:highlight w:val="none"/>
          <w:u w:val="single"/>
          <w:lang w:val="en-US" w:eastAsia="zh-CN"/>
        </w:rPr>
        <w:t xml:space="preserve">     </w:t>
      </w:r>
      <w:r>
        <w:rPr>
          <w:rFonts w:hint="eastAsia"/>
          <w:color w:val="auto"/>
          <w:kern w:val="0"/>
          <w:sz w:val="24"/>
          <w:highlight w:val="none"/>
          <w:lang w:val="en-US" w:eastAsia="zh-CN"/>
        </w:rPr>
        <w:t>。</w:t>
      </w:r>
    </w:p>
    <w:p w14:paraId="33723532">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若乙方为小规模纳税人，且本款第1项勾选增值税专用发票的，则乙方需提供由税务机关代开的增值税专用发票。</w:t>
      </w:r>
    </w:p>
    <w:p w14:paraId="6E2D4872">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若汇总开具增值税专用发票的，则乙方需同时提供防伪税控系统开具的《销售货物或者提供应税劳务清单》，并加盖发票专用章。</w:t>
      </w:r>
    </w:p>
    <w:p w14:paraId="177C1DC3">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4、乙方应在开票之日起7日内将发票送达甲方指定人员</w:t>
      </w:r>
      <w:r>
        <w:rPr>
          <w:rFonts w:hint="eastAsia"/>
          <w:color w:val="auto"/>
          <w:kern w:val="0"/>
          <w:sz w:val="24"/>
          <w:highlight w:val="none"/>
          <w:u w:val="single"/>
        </w:rPr>
        <w:t xml:space="preserve">       </w:t>
      </w:r>
      <w:r>
        <w:rPr>
          <w:rFonts w:hint="eastAsia"/>
          <w:color w:val="auto"/>
          <w:kern w:val="0"/>
          <w:sz w:val="24"/>
          <w:highlight w:val="none"/>
        </w:rPr>
        <w:t>，甲方指定人员签收发票的日期为发票的送达日期。</w:t>
      </w:r>
      <w:r>
        <w:rPr>
          <w:rFonts w:hint="eastAsia"/>
          <w:color w:val="auto"/>
          <w:sz w:val="24"/>
          <w:highlight w:val="none"/>
        </w:rPr>
        <w:t>以快递方式送达中，甲方指定人员签收快递后发现乙方开具或税务机关代开的增值税发票存在本条第5款情形之一而向乙方提出拒收的，不视为甲方已签收。</w:t>
      </w:r>
    </w:p>
    <w:p w14:paraId="727B1A1E">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5、不符合法律法规规范性文件规定或合同约定开具、送达、认证、抵扣增值税发票的情形：</w:t>
      </w:r>
    </w:p>
    <w:p w14:paraId="7F6D6AF7">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（1）乙方开具虚假发票的（如：虚开增值税发票，开具伪造、变造的增值税发票）；</w:t>
      </w:r>
    </w:p>
    <w:p w14:paraId="360CA4F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（2）乙方开具发票种类错误的（如：增值税专用发票开成增值税普通发票）；</w:t>
      </w:r>
    </w:p>
    <w:p w14:paraId="20B702C3">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（3）乙方开具发票上记载的信息错误的（如：甲方与乙方基本信息、发票号码、开票时间、金额、税率、税额等错误；字迹不清，压线、错格；项目不齐全；缺少发票专用章；备注栏遗漏填写等）；</w:t>
      </w:r>
    </w:p>
    <w:p w14:paraId="2A15C0F9">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（4）因乙方迟延送达增值税专用发票导致甲方不能认证、抵扣的；</w:t>
      </w:r>
    </w:p>
    <w:p w14:paraId="5FFF6DAC">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（5）因乙方开具虚假增值税专用发票导致甲方不能认证、抵扣的；</w:t>
      </w:r>
    </w:p>
    <w:p w14:paraId="1BA3A3A8">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（6）因乙方开具的增值税专用发票上记载的信息错误导致甲方不能认证、抵扣的；</w:t>
      </w:r>
    </w:p>
    <w:p w14:paraId="282A23A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（7）汇总开具增值税专用发票时，未一并提供防伪税控系统开具的《销售货物或者提供应税劳务清单》的，或提供的《销售货物或者提供应税劳务清单》上未加盖发票专用章的；</w:t>
      </w:r>
    </w:p>
    <w:p w14:paraId="0CBBEE15">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（8）其他违反法律法规规范性文件规定或合同约定开具的增值税发票的。</w:t>
      </w:r>
    </w:p>
    <w:p w14:paraId="67ABF18A">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6、若乙方开具或税务机关代开的增值税发票存在本条第5款情形之一的，则甲方有权拒收增值税发票，并有权暂停支付相应款项直到甲方收到符合要求的增值税发票之日止。</w:t>
      </w:r>
    </w:p>
    <w:p w14:paraId="30FA8F3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乙方在甲方拒收发票之日起7日内重新开具或提供符合要求的增值税发票并送达甲方。</w:t>
      </w:r>
      <w:r>
        <w:rPr>
          <w:rFonts w:hint="eastAsia"/>
          <w:color w:val="auto"/>
          <w:sz w:val="24"/>
          <w:highlight w:val="none"/>
        </w:rPr>
        <w:t>若因甲方原因提供错误开票信息的，甲方应在拒收的同时向乙方提供正确开票信息。</w:t>
      </w:r>
    </w:p>
    <w:p w14:paraId="28DBEF0E">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本款中甲方拒收发票，或甲方暂停支付款项等行为，不视为甲方违约，且乙方不得以此为由中止履行合同约定的义务。</w:t>
      </w:r>
    </w:p>
    <w:p w14:paraId="7D046010">
      <w:pPr>
        <w:autoSpaceDE w:val="0"/>
        <w:autoSpaceDN w:val="0"/>
        <w:snapToGrid w:val="0"/>
        <w:spacing w:line="360" w:lineRule="auto"/>
        <w:ind w:firstLine="480" w:firstLineChars="200"/>
        <w:contextualSpacing/>
        <w:jc w:val="left"/>
        <w:rPr>
          <w:rFonts w:ascii="Times New Roman" w:hAnsi="Times New Roman" w:eastAsia="宋体"/>
          <w:color w:val="auto"/>
          <w:kern w:val="0"/>
          <w:sz w:val="24"/>
          <w:highlight w:val="none"/>
        </w:rPr>
      </w:pPr>
      <w:r>
        <w:rPr>
          <w:rFonts w:hint="eastAsia" w:ascii="Times New Roman" w:hAnsi="Times New Roman" w:eastAsia="宋体"/>
          <w:color w:val="auto"/>
          <w:kern w:val="0"/>
          <w:sz w:val="24"/>
          <w:highlight w:val="none"/>
        </w:rPr>
        <w:t>7、若因虚假发票（包括但不限于虚开增值税发票，开具伪造、变造的增值税发票）等问题引起税务纠纷，乙方应及时组织相关人员追查处理，并及时按甲方要求采取补救措施。无论工程是否完工，合同是否终止，一旦被相关机构查实，具体责任由乙方承担，造成甲方损失的，包括但不限于罚金、违约金、名誉商誉损失、律师费、诉讼费等一切费用均由乙方承担，此外甲方有权要求乙方承担本合同总价的</w:t>
      </w:r>
      <w:r>
        <w:rPr>
          <w:rFonts w:hint="eastAsia" w:ascii="Times New Roman" w:hAnsi="Times New Roman" w:eastAsia="宋体"/>
          <w:color w:val="auto"/>
          <w:kern w:val="0"/>
          <w:sz w:val="24"/>
          <w:highlight w:val="none"/>
          <w:u w:val="single"/>
        </w:rPr>
        <w:t xml:space="preserve">  5  </w:t>
      </w:r>
      <w:r>
        <w:rPr>
          <w:rFonts w:hint="eastAsia" w:ascii="Times New Roman" w:hAnsi="Times New Roman" w:eastAsia="宋体"/>
          <w:color w:val="auto"/>
          <w:kern w:val="0"/>
          <w:sz w:val="24"/>
          <w:highlight w:val="none"/>
        </w:rPr>
        <w:t>%的违约金。乙方确保开票真实合法义务不以合同终止而终止。</w:t>
      </w:r>
    </w:p>
    <w:p w14:paraId="2554B740">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若乙方开具或提供的增值税专用发票发生本条第5款情形超过3次的或给甲方造成损失（包括但不限于第三方罚金、违约金、滞纳金、赔偿金、名誉损失）的，则乙方除按本款前述约定承担责任外，甲方有权单方解除本合同。</w:t>
      </w:r>
    </w:p>
    <w:p w14:paraId="7A495C4B">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8、乙方向甲方结算原则上需提供</w:t>
      </w:r>
      <w:r>
        <w:rPr>
          <w:rFonts w:hint="eastAsia"/>
          <w:color w:val="auto"/>
          <w:kern w:val="0"/>
          <w:sz w:val="24"/>
          <w:highlight w:val="none"/>
          <w:lang w:val="en-US" w:eastAsia="zh-CN"/>
        </w:rPr>
        <w:t>3</w:t>
      </w:r>
      <w:r>
        <w:rPr>
          <w:rFonts w:hint="eastAsia"/>
          <w:color w:val="auto"/>
          <w:kern w:val="0"/>
          <w:sz w:val="24"/>
          <w:highlight w:val="none"/>
        </w:rPr>
        <w:t>%增值税专用发票，若因乙方自身或其他原因导致提供的增值税专用发票税率低于</w:t>
      </w:r>
      <w:r>
        <w:rPr>
          <w:rFonts w:hint="eastAsia"/>
          <w:color w:val="auto"/>
          <w:kern w:val="0"/>
          <w:sz w:val="24"/>
          <w:highlight w:val="none"/>
          <w:lang w:val="en-US" w:eastAsia="zh-CN"/>
        </w:rPr>
        <w:t>3</w:t>
      </w:r>
      <w:r>
        <w:rPr>
          <w:rFonts w:hint="eastAsia"/>
          <w:color w:val="auto"/>
          <w:kern w:val="0"/>
          <w:sz w:val="24"/>
          <w:highlight w:val="none"/>
        </w:rPr>
        <w:t>%的，甲方将在结算时扣除相应税差。。</w:t>
      </w:r>
    </w:p>
    <w:p w14:paraId="0FEA3DE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9、若甲方从货款中扣除了违约金、损失赔偿额等款项的，乙方仍应按扣除前的货款金额全额开具增值税发票。</w:t>
      </w:r>
    </w:p>
    <w:p w14:paraId="1331D21D">
      <w:pPr>
        <w:autoSpaceDE w:val="0"/>
        <w:autoSpaceDN w:val="0"/>
        <w:snapToGrid w:val="0"/>
        <w:spacing w:line="360" w:lineRule="auto"/>
        <w:ind w:firstLine="480" w:firstLineChars="200"/>
        <w:contextualSpacing/>
        <w:jc w:val="left"/>
        <w:rPr>
          <w:b/>
          <w:color w:val="auto"/>
          <w:kern w:val="0"/>
          <w:sz w:val="24"/>
          <w:highlight w:val="none"/>
        </w:rPr>
      </w:pPr>
      <w:r>
        <w:rPr>
          <w:rFonts w:hint="eastAsia"/>
          <w:color w:val="auto"/>
          <w:kern w:val="0"/>
          <w:sz w:val="24"/>
          <w:highlight w:val="none"/>
        </w:rPr>
        <w:t>本合同中约定的甲方向乙方支付的违约金均为含税金额，在甲方支付违约金前，乙方应按本合同第一条约定的增值税率或征收率，向甲方开具增值税发票。</w:t>
      </w:r>
    </w:p>
    <w:p w14:paraId="7618788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10、若甲方遗失增值税专用发票联或抵扣联，则乙方应按甲方要求提供增值税专用发票记账联复印件及主管税务机关出具的《丢失增值税专用发票已报税证明单》。</w:t>
      </w:r>
    </w:p>
    <w:p w14:paraId="503A0911">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11、乙方向甲方开具的其他增值税扣税凭证，均适用于本合同中有关增值税专用发票的约定。</w:t>
      </w:r>
    </w:p>
    <w:p w14:paraId="59AC45B9">
      <w:pPr>
        <w:autoSpaceDE w:val="0"/>
        <w:autoSpaceDN w:val="0"/>
        <w:snapToGrid w:val="0"/>
        <w:spacing w:line="360" w:lineRule="auto"/>
        <w:contextualSpacing/>
        <w:jc w:val="left"/>
        <w:rPr>
          <w:b/>
          <w:color w:val="auto"/>
          <w:kern w:val="0"/>
          <w:sz w:val="24"/>
          <w:highlight w:val="none"/>
        </w:rPr>
      </w:pPr>
      <w:r>
        <w:rPr>
          <w:rFonts w:hint="eastAsia"/>
          <w:b/>
          <w:color w:val="auto"/>
          <w:kern w:val="0"/>
          <w:sz w:val="24"/>
          <w:highlight w:val="none"/>
        </w:rPr>
        <w:t xml:space="preserve">    七、履约保证金：</w:t>
      </w:r>
    </w:p>
    <w:p w14:paraId="0B7D093F">
      <w:pPr>
        <w:numPr>
          <w:ilvl w:val="0"/>
          <w:numId w:val="0"/>
        </w:numPr>
        <w:autoSpaceDE w:val="0"/>
        <w:autoSpaceDN w:val="0"/>
        <w:snapToGrid w:val="0"/>
        <w:spacing w:line="360" w:lineRule="auto"/>
        <w:ind w:firstLine="480" w:firstLineChars="200"/>
        <w:contextualSpacing/>
        <w:jc w:val="left"/>
        <w:rPr>
          <w:bCs/>
          <w:color w:val="auto"/>
          <w:kern w:val="0"/>
          <w:sz w:val="24"/>
          <w:highlight w:val="none"/>
        </w:rPr>
      </w:pPr>
      <w:r>
        <w:rPr>
          <w:rFonts w:cs="黑体"/>
          <w:bCs/>
          <w:color w:val="auto"/>
          <w:kern w:val="0"/>
          <w:sz w:val="24"/>
          <w:szCs w:val="22"/>
          <w:lang w:val="en-US" w:eastAsia="zh-CN" w:bidi="ar-SA"/>
        </w:rPr>
        <w:t>1、</w:t>
      </w:r>
      <w:r>
        <w:rPr>
          <w:rFonts w:hint="eastAsia"/>
          <w:bCs/>
          <w:color w:val="auto"/>
          <w:kern w:val="0"/>
          <w:sz w:val="24"/>
          <w:highlight w:val="none"/>
        </w:rPr>
        <w:t>合同签订前乙方应向甲方交纳</w:t>
      </w:r>
      <w:r>
        <w:rPr>
          <w:rFonts w:hint="eastAsia"/>
          <w:bCs/>
          <w:color w:val="auto"/>
          <w:kern w:val="0"/>
          <w:sz w:val="24"/>
          <w:highlight w:val="none"/>
          <w:u w:val="single"/>
        </w:rPr>
        <w:t xml:space="preserve">      </w:t>
      </w:r>
      <w:r>
        <w:rPr>
          <w:rFonts w:hint="eastAsia"/>
          <w:bCs/>
          <w:color w:val="auto"/>
          <w:kern w:val="0"/>
          <w:sz w:val="24"/>
          <w:highlight w:val="none"/>
        </w:rPr>
        <w:t>万元的履约保证金，履约保证金在合同履行完毕后无息退还。</w:t>
      </w:r>
    </w:p>
    <w:p w14:paraId="7E04D582">
      <w:pPr>
        <w:numPr>
          <w:ilvl w:val="0"/>
          <w:numId w:val="0"/>
        </w:numPr>
        <w:autoSpaceDE w:val="0"/>
        <w:autoSpaceDN w:val="0"/>
        <w:snapToGrid w:val="0"/>
        <w:spacing w:line="360" w:lineRule="auto"/>
        <w:ind w:firstLine="480" w:firstLineChars="200"/>
        <w:contextualSpacing/>
        <w:jc w:val="left"/>
        <w:rPr>
          <w:bCs/>
          <w:color w:val="auto"/>
          <w:kern w:val="0"/>
          <w:sz w:val="24"/>
          <w:highlight w:val="none"/>
        </w:rPr>
      </w:pPr>
      <w:r>
        <w:rPr>
          <w:rFonts w:cs="黑体"/>
          <w:bCs/>
          <w:color w:val="auto"/>
          <w:kern w:val="0"/>
          <w:sz w:val="24"/>
          <w:szCs w:val="22"/>
          <w:lang w:val="en-US" w:eastAsia="zh-CN" w:bidi="ar-SA"/>
        </w:rPr>
        <w:t>2、</w:t>
      </w:r>
      <w:r>
        <w:rPr>
          <w:rFonts w:hint="eastAsia"/>
          <w:bCs/>
          <w:color w:val="auto"/>
          <w:kern w:val="0"/>
          <w:sz w:val="24"/>
          <w:highlight w:val="none"/>
        </w:rPr>
        <w:t>履约保证金的支付方式：</w:t>
      </w:r>
      <w:r>
        <w:rPr>
          <w:rFonts w:hint="eastAsia"/>
          <w:bCs/>
          <w:color w:val="auto"/>
          <w:kern w:val="0"/>
          <w:sz w:val="24"/>
          <w:highlight w:val="none"/>
          <w:u w:val="single"/>
        </w:rPr>
        <w:t xml:space="preserve">     </w:t>
      </w:r>
      <w:r>
        <w:rPr>
          <w:rFonts w:hint="eastAsia"/>
          <w:bCs/>
          <w:color w:val="auto"/>
          <w:kern w:val="0"/>
          <w:sz w:val="24"/>
          <w:highlight w:val="none"/>
        </w:rPr>
        <w:t>。</w:t>
      </w:r>
    </w:p>
    <w:p w14:paraId="2B817759">
      <w:pPr>
        <w:autoSpaceDE w:val="0"/>
        <w:autoSpaceDN w:val="0"/>
        <w:snapToGrid w:val="0"/>
        <w:spacing w:line="360" w:lineRule="auto"/>
        <w:ind w:firstLine="480" w:firstLineChars="200"/>
        <w:contextualSpacing/>
        <w:jc w:val="left"/>
        <w:rPr>
          <w:b/>
          <w:color w:val="auto"/>
          <w:highlight w:val="none"/>
        </w:rPr>
      </w:pPr>
      <w:r>
        <w:rPr>
          <w:rFonts w:hint="eastAsia"/>
          <w:bCs/>
          <w:color w:val="auto"/>
          <w:kern w:val="0"/>
          <w:sz w:val="24"/>
          <w:highlight w:val="none"/>
        </w:rPr>
        <w:t>3、合同签订后，乙方不能履约或者不能全部履约，交纳的履约保证金不再退还，并赔偿因此造成甲方的一切损失。</w:t>
      </w:r>
    </w:p>
    <w:p w14:paraId="1B6EF3C6">
      <w:pPr>
        <w:autoSpaceDE w:val="0"/>
        <w:autoSpaceDN w:val="0"/>
        <w:snapToGri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八</w:t>
      </w:r>
      <w:r>
        <w:rPr>
          <w:b/>
          <w:color w:val="auto"/>
          <w:kern w:val="0"/>
          <w:sz w:val="24"/>
          <w:highlight w:val="none"/>
        </w:rPr>
        <w:t>、结算与付款</w:t>
      </w:r>
    </w:p>
    <w:p w14:paraId="12098073">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（一）货款结算采用以下方式：</w:t>
      </w:r>
    </w:p>
    <w:p w14:paraId="06BE3E7D">
      <w:pPr>
        <w:autoSpaceDE w:val="0"/>
        <w:autoSpaceDN w:val="0"/>
        <w:snapToGrid w:val="0"/>
        <w:spacing w:line="360" w:lineRule="auto"/>
        <w:ind w:firstLine="482" w:firstLineChars="200"/>
        <w:contextualSpacing/>
        <w:jc w:val="left"/>
        <w:rPr>
          <w:color w:val="auto"/>
          <w:sz w:val="24"/>
          <w:highlight w:val="none"/>
        </w:rPr>
      </w:pPr>
      <w:r>
        <w:rPr>
          <w:b/>
          <w:color w:val="auto"/>
          <w:kern w:val="0"/>
          <w:sz w:val="24"/>
          <w:highlight w:val="none"/>
          <w:u w:val="single"/>
        </w:rPr>
        <w:t>1、从开始供货的次月开始结算，乙方</w:t>
      </w:r>
      <w:r>
        <w:rPr>
          <w:b/>
          <w:color w:val="auto"/>
          <w:sz w:val="24"/>
          <w:highlight w:val="none"/>
          <w:u w:val="single"/>
        </w:rPr>
        <w:t>根据甲方指定的收货联系人签字确认的</w:t>
      </w:r>
      <w:r>
        <w:rPr>
          <w:b/>
          <w:color w:val="auto"/>
          <w:kern w:val="0"/>
          <w:sz w:val="24"/>
          <w:highlight w:val="none"/>
          <w:u w:val="single"/>
        </w:rPr>
        <w:t>送货单制作月结算单，</w:t>
      </w:r>
      <w:r>
        <w:rPr>
          <w:b/>
          <w:color w:val="auto"/>
          <w:sz w:val="24"/>
          <w:highlight w:val="none"/>
          <w:u w:val="single"/>
        </w:rPr>
        <w:t>在次月</w:t>
      </w:r>
      <w:r>
        <w:rPr>
          <w:rFonts w:hint="eastAsia" w:ascii="Times New Roman" w:hAnsi="Times New Roman" w:eastAsia="宋体"/>
          <w:b/>
          <w:color w:val="auto"/>
          <w:sz w:val="24"/>
          <w:highlight w:val="none"/>
          <w:u w:val="single"/>
          <w:lang w:val="en-US" w:eastAsia="zh-CN"/>
        </w:rPr>
        <w:t>15</w:t>
      </w:r>
      <w:r>
        <w:rPr>
          <w:rFonts w:ascii="Times New Roman" w:hAnsi="Times New Roman" w:eastAsia="宋体"/>
          <w:b/>
          <w:color w:val="auto"/>
          <w:sz w:val="24"/>
          <w:highlight w:val="none"/>
          <w:u w:val="single"/>
        </w:rPr>
        <w:t>日</w:t>
      </w:r>
      <w:r>
        <w:rPr>
          <w:b/>
          <w:color w:val="auto"/>
          <w:sz w:val="24"/>
          <w:highlight w:val="none"/>
          <w:u w:val="single"/>
        </w:rPr>
        <w:t>前向甲方</w:t>
      </w:r>
      <w:r>
        <w:rPr>
          <w:b/>
          <w:color w:val="auto"/>
          <w:kern w:val="0"/>
          <w:sz w:val="24"/>
          <w:highlight w:val="none"/>
          <w:u w:val="single"/>
        </w:rPr>
        <w:t>递交，</w:t>
      </w:r>
      <w:r>
        <w:rPr>
          <w:b/>
          <w:color w:val="auto"/>
          <w:sz w:val="24"/>
          <w:highlight w:val="none"/>
          <w:u w:val="single"/>
        </w:rPr>
        <w:t>甲方核对完毕后，</w:t>
      </w:r>
      <w:r>
        <w:rPr>
          <w:b/>
          <w:color w:val="auto"/>
          <w:kern w:val="0"/>
          <w:sz w:val="24"/>
          <w:highlight w:val="none"/>
          <w:u w:val="single"/>
        </w:rPr>
        <w:t>由甲方指定人员</w:t>
      </w:r>
      <w:r>
        <w:rPr>
          <w:rFonts w:hint="eastAsia"/>
          <w:b/>
          <w:color w:val="auto"/>
          <w:kern w:val="0"/>
          <w:sz w:val="24"/>
          <w:highlight w:val="none"/>
          <w:u w:val="single"/>
        </w:rPr>
        <w:t xml:space="preserve">：      </w:t>
      </w:r>
      <w:r>
        <w:rPr>
          <w:b/>
          <w:color w:val="auto"/>
          <w:kern w:val="0"/>
          <w:sz w:val="24"/>
          <w:highlight w:val="none"/>
          <w:u w:val="single"/>
        </w:rPr>
        <w:t>和项目经理（项目负责人）</w:t>
      </w:r>
      <w:r>
        <w:rPr>
          <w:rFonts w:hint="eastAsia"/>
          <w:b/>
          <w:color w:val="auto"/>
          <w:kern w:val="0"/>
          <w:sz w:val="24"/>
          <w:highlight w:val="none"/>
          <w:u w:val="single"/>
        </w:rPr>
        <w:t xml:space="preserve">：     </w:t>
      </w:r>
      <w:r>
        <w:rPr>
          <w:b/>
          <w:color w:val="auto"/>
          <w:kern w:val="0"/>
          <w:sz w:val="24"/>
          <w:highlight w:val="none"/>
          <w:u w:val="single"/>
        </w:rPr>
        <w:t>在月结算单上签字确认并加盖甲方或</w:t>
      </w:r>
      <w:r>
        <w:rPr>
          <w:rFonts w:hint="eastAsia"/>
          <w:b/>
          <w:color w:val="auto"/>
          <w:kern w:val="0"/>
          <w:sz w:val="24"/>
          <w:highlight w:val="none"/>
          <w:u w:val="single"/>
        </w:rPr>
        <w:t>项目部章</w:t>
      </w:r>
      <w:r>
        <w:rPr>
          <w:b/>
          <w:color w:val="auto"/>
          <w:kern w:val="0"/>
          <w:sz w:val="24"/>
          <w:highlight w:val="none"/>
          <w:u w:val="single"/>
        </w:rPr>
        <w:t>后生效（单独签字不得作为结算凭证），其他任何人签字确认或加盖工程技术资料专用章、财务专用章都无效。</w:t>
      </w:r>
      <w:r>
        <w:rPr>
          <w:b/>
          <w:color w:val="auto"/>
          <w:sz w:val="24"/>
          <w:highlight w:val="none"/>
          <w:u w:val="single"/>
        </w:rPr>
        <w:t>供货完毕后，双方在次月</w:t>
      </w:r>
      <w:r>
        <w:rPr>
          <w:rFonts w:hint="eastAsia"/>
          <w:b/>
          <w:color w:val="auto"/>
          <w:sz w:val="24"/>
          <w:highlight w:val="none"/>
          <w:u w:val="single"/>
        </w:rPr>
        <w:t xml:space="preserve">    </w:t>
      </w:r>
      <w:r>
        <w:rPr>
          <w:b/>
          <w:color w:val="auto"/>
          <w:sz w:val="24"/>
          <w:highlight w:val="none"/>
          <w:u w:val="single"/>
        </w:rPr>
        <w:t>日内按前述程序办理最终结算手续。</w:t>
      </w:r>
      <w:r>
        <w:rPr>
          <w:b/>
          <w:color w:val="auto"/>
          <w:kern w:val="0"/>
          <w:sz w:val="24"/>
          <w:highlight w:val="none"/>
          <w:u w:val="single"/>
        </w:rPr>
        <w:t>结算单是甲乙双方货款支付的凭证。</w:t>
      </w:r>
    </w:p>
    <w:p w14:paraId="4DB7CF8D">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2、结算单应注明</w:t>
      </w:r>
      <w:r>
        <w:rPr>
          <w:rFonts w:hint="eastAsia"/>
          <w:color w:val="auto"/>
          <w:sz w:val="24"/>
          <w:highlight w:val="none"/>
        </w:rPr>
        <w:t>当月采购的材料名称、型号（规格）、单位、数量、单价及金额，如有退货的，应注明退货的材料名称、型号（规格）、单位、数量、单价及金额</w:t>
      </w:r>
      <w:r>
        <w:rPr>
          <w:color w:val="auto"/>
          <w:kern w:val="0"/>
          <w:sz w:val="24"/>
          <w:highlight w:val="none"/>
        </w:rPr>
        <w:t>。</w:t>
      </w:r>
    </w:p>
    <w:p w14:paraId="6CFCE2B0">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3、其他结算约定：</w:t>
      </w:r>
      <w:r>
        <w:rPr>
          <w:color w:val="auto"/>
          <w:kern w:val="0"/>
          <w:sz w:val="24"/>
          <w:highlight w:val="none"/>
          <w:u w:val="single"/>
        </w:rPr>
        <w:t xml:space="preserve">　       </w:t>
      </w:r>
      <w:r>
        <w:rPr>
          <w:rFonts w:hint="eastAsia"/>
          <w:color w:val="auto"/>
          <w:kern w:val="0"/>
          <w:sz w:val="24"/>
          <w:highlight w:val="none"/>
          <w:u w:val="single"/>
        </w:rPr>
        <w:t xml:space="preserve">  </w:t>
      </w:r>
      <w:r>
        <w:rPr>
          <w:color w:val="auto"/>
          <w:kern w:val="0"/>
          <w:sz w:val="24"/>
          <w:highlight w:val="none"/>
          <w:u w:val="single"/>
        </w:rPr>
        <w:t xml:space="preserve">         　</w:t>
      </w:r>
      <w:r>
        <w:rPr>
          <w:color w:val="auto"/>
          <w:kern w:val="0"/>
          <w:sz w:val="24"/>
          <w:highlight w:val="none"/>
        </w:rPr>
        <w:t>。</w:t>
      </w:r>
    </w:p>
    <w:p w14:paraId="2C040846">
      <w:pPr>
        <w:autoSpaceDE w:val="0"/>
        <w:autoSpaceDN w:val="0"/>
        <w:snapToGrid w:val="0"/>
        <w:spacing w:line="360" w:lineRule="auto"/>
        <w:ind w:firstLine="480" w:firstLineChars="200"/>
        <w:contextualSpacing/>
        <w:jc w:val="left"/>
        <w:rPr>
          <w:color w:val="auto"/>
          <w:kern w:val="0"/>
          <w:sz w:val="24"/>
          <w:highlight w:val="none"/>
        </w:rPr>
      </w:pPr>
      <w:r>
        <w:rPr>
          <w:color w:val="auto"/>
          <w:kern w:val="0"/>
          <w:sz w:val="24"/>
          <w:highlight w:val="none"/>
        </w:rPr>
        <w:t>（二）货款支付方式：双方约定采用以下第</w:t>
      </w:r>
      <w:r>
        <w:rPr>
          <w:rFonts w:hint="eastAsia"/>
          <w:color w:val="auto"/>
          <w:kern w:val="0"/>
          <w:sz w:val="24"/>
          <w:highlight w:val="none"/>
          <w:u w:val="single"/>
        </w:rPr>
        <w:t xml:space="preserve"> </w:t>
      </w:r>
      <w:r>
        <w:rPr>
          <w:rFonts w:hint="eastAsia"/>
          <w:color w:val="auto"/>
          <w:kern w:val="0"/>
          <w:sz w:val="24"/>
          <w:highlight w:val="none"/>
          <w:u w:val="single"/>
          <w:lang w:val="en-US" w:eastAsia="zh-CN"/>
        </w:rPr>
        <w:t>2</w:t>
      </w:r>
      <w:r>
        <w:rPr>
          <w:rFonts w:hint="eastAsia"/>
          <w:color w:val="auto"/>
          <w:kern w:val="0"/>
          <w:sz w:val="24"/>
          <w:highlight w:val="none"/>
          <w:u w:val="single"/>
        </w:rPr>
        <w:t xml:space="preserve"> </w:t>
      </w:r>
      <w:r>
        <w:rPr>
          <w:color w:val="auto"/>
          <w:kern w:val="0"/>
          <w:sz w:val="24"/>
          <w:highlight w:val="none"/>
        </w:rPr>
        <w:t>种支付方式</w:t>
      </w:r>
    </w:p>
    <w:p w14:paraId="1C9345D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1、按结算货款金额支付（乙方垫资供货）：</w:t>
      </w:r>
    </w:p>
    <w:p w14:paraId="55191C02">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（1）乙方</w:t>
      </w:r>
      <w:r>
        <w:rPr>
          <w:rFonts w:hint="default"/>
          <w:color w:val="auto"/>
          <w:sz w:val="24"/>
          <w:highlight w:val="none"/>
          <w:lang w:val="en-US"/>
        </w:rPr>
        <w:t>承诺免息垫资，垫资额</w:t>
      </w:r>
      <w:r>
        <w:rPr>
          <w:color w:val="auto"/>
          <w:sz w:val="24"/>
          <w:highlight w:val="none"/>
        </w:rPr>
        <w:t>达到</w:t>
      </w:r>
      <w:r>
        <w:rPr>
          <w:rFonts w:hint="eastAsia"/>
          <w:color w:val="auto"/>
          <w:sz w:val="24"/>
          <w:highlight w:val="none"/>
          <w:u w:val="single"/>
        </w:rPr>
        <w:t xml:space="preserve">    </w:t>
      </w:r>
      <w:r>
        <w:rPr>
          <w:color w:val="auto"/>
          <w:sz w:val="24"/>
          <w:highlight w:val="none"/>
        </w:rPr>
        <w:t>万元后甲方开始支付货款。</w:t>
      </w:r>
    </w:p>
    <w:p w14:paraId="11FCC178">
      <w:pPr>
        <w:autoSpaceDE w:val="0"/>
        <w:autoSpaceDN w:val="0"/>
        <w:adjustRightInd w:val="0"/>
        <w:spacing w:line="360" w:lineRule="auto"/>
        <w:ind w:left="210" w:leftChars="100" w:firstLine="240" w:firstLineChars="100"/>
        <w:contextualSpacing/>
        <w:jc w:val="left"/>
        <w:rPr>
          <w:color w:val="auto"/>
          <w:sz w:val="24"/>
          <w:highlight w:val="none"/>
        </w:rPr>
      </w:pPr>
      <w:r>
        <w:rPr>
          <w:color w:val="auto"/>
          <w:sz w:val="24"/>
          <w:highlight w:val="none"/>
        </w:rPr>
        <w:t>（2）当已结算款项超过垫资部分</w:t>
      </w:r>
      <w:r>
        <w:rPr>
          <w:rFonts w:hint="eastAsia"/>
          <w:color w:val="auto"/>
          <w:sz w:val="24"/>
          <w:highlight w:val="none"/>
          <w:lang w:val="en-US" w:eastAsia="zh-CN"/>
        </w:rPr>
        <w:t>的</w:t>
      </w:r>
      <w:r>
        <w:rPr>
          <w:color w:val="auto"/>
          <w:sz w:val="24"/>
          <w:highlight w:val="none"/>
        </w:rPr>
        <w:t>货款，则在次月</w:t>
      </w:r>
      <w:r>
        <w:rPr>
          <w:rFonts w:hint="eastAsia"/>
          <w:color w:val="auto"/>
          <w:sz w:val="24"/>
          <w:highlight w:val="none"/>
          <w:u w:val="single"/>
        </w:rPr>
        <w:t xml:space="preserve">    </w:t>
      </w:r>
      <w:r>
        <w:rPr>
          <w:color w:val="auto"/>
          <w:sz w:val="24"/>
          <w:highlight w:val="none"/>
        </w:rPr>
        <w:t>日前按月支付月结算款的</w:t>
      </w:r>
      <w:r>
        <w:rPr>
          <w:rFonts w:hint="eastAsia"/>
          <w:color w:val="auto"/>
          <w:sz w:val="24"/>
          <w:highlight w:val="none"/>
          <w:u w:val="single"/>
        </w:rPr>
        <w:t xml:space="preserve">      </w:t>
      </w:r>
      <w:r>
        <w:rPr>
          <w:color w:val="auto"/>
          <w:sz w:val="24"/>
          <w:highlight w:val="none"/>
        </w:rPr>
        <w:t>%。</w:t>
      </w:r>
    </w:p>
    <w:p w14:paraId="3366BCCA">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（3）供货完毕且双方完成最终结算后，在次月的</w:t>
      </w:r>
      <w:r>
        <w:rPr>
          <w:rFonts w:hint="eastAsia"/>
          <w:color w:val="auto"/>
          <w:sz w:val="24"/>
          <w:highlight w:val="none"/>
          <w:u w:val="single"/>
        </w:rPr>
        <w:t xml:space="preserve">    </w:t>
      </w:r>
      <w:r>
        <w:rPr>
          <w:color w:val="auto"/>
          <w:sz w:val="24"/>
          <w:highlight w:val="none"/>
        </w:rPr>
        <w:t>日前支付至最终结算款项扣除</w:t>
      </w:r>
      <w:r>
        <w:rPr>
          <w:rFonts w:hint="default"/>
          <w:color w:val="auto"/>
          <w:sz w:val="24"/>
          <w:highlight w:val="none"/>
          <w:lang w:val="en-US"/>
        </w:rPr>
        <w:t>垫资额</w:t>
      </w:r>
      <w:r>
        <w:rPr>
          <w:color w:val="auto"/>
          <w:sz w:val="24"/>
          <w:highlight w:val="none"/>
        </w:rPr>
        <w:t>部分的</w:t>
      </w:r>
      <w:r>
        <w:rPr>
          <w:rFonts w:hint="eastAsia"/>
          <w:color w:val="auto"/>
          <w:sz w:val="24"/>
          <w:highlight w:val="none"/>
          <w:u w:val="single"/>
        </w:rPr>
        <w:t xml:space="preserve">     </w:t>
      </w:r>
      <w:r>
        <w:rPr>
          <w:color w:val="auto"/>
          <w:sz w:val="24"/>
          <w:highlight w:val="none"/>
        </w:rPr>
        <w:t xml:space="preserve">%。 </w:t>
      </w:r>
    </w:p>
    <w:p w14:paraId="5BDE341B">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（4）剩余货款及垫资款</w:t>
      </w:r>
      <w:r>
        <w:rPr>
          <w:rFonts w:hint="eastAsia"/>
          <w:color w:val="auto"/>
          <w:sz w:val="24"/>
          <w:highlight w:val="none"/>
          <w:u w:val="single"/>
        </w:rPr>
        <w:t xml:space="preserve">     </w:t>
      </w:r>
      <w:r>
        <w:rPr>
          <w:color w:val="auto"/>
          <w:sz w:val="24"/>
          <w:highlight w:val="none"/>
        </w:rPr>
        <w:t>万元在最终结算完成以后的</w:t>
      </w:r>
      <w:r>
        <w:rPr>
          <w:rFonts w:hint="eastAsia"/>
          <w:color w:val="auto"/>
          <w:sz w:val="24"/>
          <w:highlight w:val="none"/>
          <w:u w:val="single"/>
        </w:rPr>
        <w:t xml:space="preserve">     </w:t>
      </w:r>
      <w:r>
        <w:rPr>
          <w:color w:val="auto"/>
          <w:sz w:val="24"/>
          <w:highlight w:val="none"/>
        </w:rPr>
        <w:t>月内付清。</w:t>
      </w:r>
    </w:p>
    <w:p w14:paraId="72E3D448">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2、按结算货款金额支付（乙方不垫资）：</w:t>
      </w:r>
    </w:p>
    <w:p w14:paraId="514F8C1F">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（1）货款按</w:t>
      </w:r>
      <w:r>
        <w:rPr>
          <w:rFonts w:hint="eastAsia"/>
          <w:color w:val="auto"/>
          <w:sz w:val="24"/>
          <w:highlight w:val="none"/>
        </w:rPr>
        <w:t>双方确认的</w:t>
      </w:r>
      <w:r>
        <w:rPr>
          <w:color w:val="auto"/>
          <w:sz w:val="24"/>
          <w:highlight w:val="none"/>
        </w:rPr>
        <w:t>月结算</w:t>
      </w:r>
      <w:r>
        <w:rPr>
          <w:rFonts w:hint="eastAsia"/>
          <w:color w:val="auto"/>
          <w:sz w:val="24"/>
          <w:highlight w:val="none"/>
        </w:rPr>
        <w:t>单进行</w:t>
      </w:r>
      <w:r>
        <w:rPr>
          <w:rFonts w:hint="default"/>
          <w:color w:val="auto"/>
          <w:sz w:val="24"/>
          <w:highlight w:val="none"/>
          <w:lang w:val="en-US"/>
        </w:rPr>
        <w:t>结算</w:t>
      </w:r>
      <w:r>
        <w:rPr>
          <w:rFonts w:hint="eastAsia"/>
          <w:color w:val="auto"/>
          <w:sz w:val="24"/>
          <w:highlight w:val="none"/>
          <w:lang w:val="en-US" w:eastAsia="zh-CN"/>
        </w:rPr>
        <w:t>核对确认</w:t>
      </w:r>
      <w:r>
        <w:rPr>
          <w:color w:val="auto"/>
          <w:sz w:val="24"/>
          <w:highlight w:val="none"/>
        </w:rPr>
        <w:t>后，在次月</w:t>
      </w:r>
      <w:r>
        <w:rPr>
          <w:rFonts w:hint="eastAsia"/>
          <w:color w:val="auto"/>
          <w:sz w:val="24"/>
          <w:highlight w:val="none"/>
          <w:u w:val="single"/>
        </w:rPr>
        <w:t xml:space="preserve"> </w:t>
      </w:r>
      <w:r>
        <w:rPr>
          <w:rFonts w:hint="eastAsia"/>
          <w:color w:val="auto"/>
          <w:sz w:val="24"/>
          <w:highlight w:val="none"/>
          <w:u w:val="single"/>
          <w:lang w:val="en-US" w:eastAsia="zh-CN"/>
        </w:rPr>
        <w:t>25</w:t>
      </w:r>
      <w:r>
        <w:rPr>
          <w:rFonts w:hint="eastAsia"/>
          <w:color w:val="auto"/>
          <w:sz w:val="24"/>
          <w:highlight w:val="none"/>
          <w:u w:val="single"/>
        </w:rPr>
        <w:t xml:space="preserve">  </w:t>
      </w:r>
      <w:r>
        <w:rPr>
          <w:color w:val="auto"/>
          <w:sz w:val="24"/>
          <w:highlight w:val="none"/>
        </w:rPr>
        <w:t>日前支付</w:t>
      </w:r>
      <w:r>
        <w:rPr>
          <w:rFonts w:hint="eastAsia"/>
          <w:color w:val="auto"/>
          <w:sz w:val="24"/>
          <w:highlight w:val="none"/>
          <w:lang w:val="en-US" w:eastAsia="zh-CN"/>
        </w:rPr>
        <w:t>上</w:t>
      </w:r>
      <w:r>
        <w:rPr>
          <w:color w:val="auto"/>
          <w:sz w:val="24"/>
          <w:highlight w:val="none"/>
        </w:rPr>
        <w:t>月结算金额的</w:t>
      </w:r>
      <w:r>
        <w:rPr>
          <w:rFonts w:hint="eastAsia"/>
          <w:color w:val="auto"/>
          <w:sz w:val="24"/>
          <w:highlight w:val="none"/>
          <w:u w:val="single"/>
        </w:rPr>
        <w:t xml:space="preserve"> </w:t>
      </w:r>
      <w:r>
        <w:rPr>
          <w:rFonts w:hint="eastAsia"/>
          <w:color w:val="auto"/>
          <w:sz w:val="24"/>
          <w:highlight w:val="none"/>
          <w:u w:val="single"/>
          <w:lang w:val="en-US" w:eastAsia="zh-CN"/>
        </w:rPr>
        <w:t>50.0</w:t>
      </w:r>
      <w:r>
        <w:rPr>
          <w:rFonts w:hint="eastAsia"/>
          <w:color w:val="auto"/>
          <w:sz w:val="24"/>
          <w:highlight w:val="none"/>
          <w:u w:val="single"/>
        </w:rPr>
        <w:t xml:space="preserve"> </w:t>
      </w:r>
      <w:r>
        <w:rPr>
          <w:color w:val="auto"/>
          <w:sz w:val="24"/>
          <w:highlight w:val="none"/>
        </w:rPr>
        <w:t>%。</w:t>
      </w:r>
    </w:p>
    <w:p w14:paraId="291D7BD1">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（2）供货完毕且双方完成最终结算后，在次月的</w:t>
      </w:r>
      <w:r>
        <w:rPr>
          <w:rFonts w:hint="eastAsia"/>
          <w:color w:val="auto"/>
          <w:sz w:val="24"/>
          <w:highlight w:val="none"/>
          <w:u w:val="single"/>
        </w:rPr>
        <w:t xml:space="preserve"> </w:t>
      </w:r>
      <w:r>
        <w:rPr>
          <w:rFonts w:hint="eastAsia"/>
          <w:color w:val="auto"/>
          <w:sz w:val="24"/>
          <w:highlight w:val="none"/>
          <w:u w:val="single"/>
          <w:lang w:val="en-US" w:eastAsia="zh-CN"/>
        </w:rPr>
        <w:t>25</w:t>
      </w:r>
      <w:r>
        <w:rPr>
          <w:rFonts w:hint="eastAsia"/>
          <w:color w:val="auto"/>
          <w:sz w:val="24"/>
          <w:highlight w:val="none"/>
          <w:u w:val="single"/>
        </w:rPr>
        <w:t xml:space="preserve">  </w:t>
      </w:r>
      <w:r>
        <w:rPr>
          <w:color w:val="auto"/>
          <w:sz w:val="24"/>
          <w:highlight w:val="none"/>
        </w:rPr>
        <w:t>日前支付至最终结算款项的</w:t>
      </w:r>
      <w:r>
        <w:rPr>
          <w:rFonts w:hint="eastAsia"/>
          <w:color w:val="auto"/>
          <w:sz w:val="24"/>
          <w:highlight w:val="none"/>
          <w:u w:val="single"/>
        </w:rPr>
        <w:t xml:space="preserve"> </w:t>
      </w:r>
      <w:r>
        <w:rPr>
          <w:rFonts w:hint="eastAsia"/>
          <w:color w:val="auto"/>
          <w:sz w:val="24"/>
          <w:highlight w:val="none"/>
          <w:u w:val="single"/>
          <w:lang w:val="en-US" w:eastAsia="zh-CN"/>
        </w:rPr>
        <w:t>100</w:t>
      </w:r>
      <w:r>
        <w:rPr>
          <w:rFonts w:hint="eastAsia"/>
          <w:color w:val="auto"/>
          <w:sz w:val="24"/>
          <w:highlight w:val="none"/>
          <w:u w:val="single"/>
        </w:rPr>
        <w:t xml:space="preserve"> </w:t>
      </w:r>
      <w:r>
        <w:rPr>
          <w:color w:val="auto"/>
          <w:sz w:val="24"/>
          <w:highlight w:val="none"/>
        </w:rPr>
        <w:t>%。</w:t>
      </w:r>
    </w:p>
    <w:p w14:paraId="1D8F4280">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3、按项目进度节点支付：</w:t>
      </w:r>
    </w:p>
    <w:p w14:paraId="75666032">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（1）在本项目全部单体进度节点</w:t>
      </w:r>
      <w:r>
        <w:rPr>
          <w:rFonts w:hint="eastAsia"/>
          <w:color w:val="auto"/>
          <w:sz w:val="24"/>
          <w:highlight w:val="none"/>
          <w:u w:val="single"/>
        </w:rPr>
        <w:t xml:space="preserve">      </w:t>
      </w:r>
      <w:r>
        <w:rPr>
          <w:color w:val="auto"/>
          <w:sz w:val="24"/>
          <w:highlight w:val="none"/>
        </w:rPr>
        <w:t>完成前不支付货款。</w:t>
      </w:r>
    </w:p>
    <w:p w14:paraId="32F7B400">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（2）本项目全部单体的进度节点分别在</w:t>
      </w:r>
      <w:r>
        <w:rPr>
          <w:rFonts w:hint="eastAsia"/>
          <w:color w:val="auto"/>
          <w:sz w:val="24"/>
          <w:highlight w:val="none"/>
          <w:u w:val="single"/>
        </w:rPr>
        <w:t xml:space="preserve">     </w:t>
      </w:r>
      <w:r>
        <w:rPr>
          <w:color w:val="auto"/>
          <w:sz w:val="24"/>
          <w:highlight w:val="none"/>
        </w:rPr>
        <w:t>完成后，分别在次月的</w:t>
      </w:r>
      <w:r>
        <w:rPr>
          <w:rFonts w:hint="eastAsia"/>
          <w:color w:val="auto"/>
          <w:sz w:val="24"/>
          <w:highlight w:val="none"/>
          <w:u w:val="single"/>
        </w:rPr>
        <w:t>/</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w:t>
      </w:r>
    </w:p>
    <w:p w14:paraId="5D37FDBA">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（3）至项目全部</w:t>
      </w:r>
      <w:r>
        <w:rPr>
          <w:rFonts w:hint="eastAsia"/>
          <w:color w:val="auto"/>
          <w:sz w:val="24"/>
          <w:highlight w:val="none"/>
        </w:rPr>
        <w:t>完工</w:t>
      </w:r>
      <w:r>
        <w:rPr>
          <w:color w:val="auto"/>
          <w:sz w:val="24"/>
          <w:highlight w:val="none"/>
        </w:rPr>
        <w:t>以后，在次月的</w:t>
      </w:r>
      <w:r>
        <w:rPr>
          <w:rFonts w:hint="eastAsia"/>
          <w:color w:val="auto"/>
          <w:sz w:val="24"/>
          <w:highlight w:val="none"/>
          <w:u w:val="single"/>
        </w:rPr>
        <w:t xml:space="preserve">     </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%；至项目全部通过</w:t>
      </w:r>
      <w:r>
        <w:rPr>
          <w:rFonts w:hint="eastAsia"/>
          <w:color w:val="auto"/>
          <w:sz w:val="24"/>
          <w:highlight w:val="none"/>
        </w:rPr>
        <w:t>完工</w:t>
      </w:r>
      <w:r>
        <w:rPr>
          <w:color w:val="auto"/>
          <w:sz w:val="24"/>
          <w:highlight w:val="none"/>
        </w:rPr>
        <w:t>验收以后，在次月的</w:t>
      </w:r>
      <w:r>
        <w:rPr>
          <w:rFonts w:hint="eastAsia"/>
          <w:color w:val="auto"/>
          <w:sz w:val="24"/>
          <w:highlight w:val="none"/>
          <w:u w:val="single"/>
        </w:rPr>
        <w:t xml:space="preserve">   </w:t>
      </w:r>
      <w:r>
        <w:rPr>
          <w:color w:val="auto"/>
          <w:sz w:val="24"/>
          <w:highlight w:val="none"/>
        </w:rPr>
        <w:t>日前支付已结算金额的</w:t>
      </w:r>
      <w:r>
        <w:rPr>
          <w:rFonts w:hint="eastAsia"/>
          <w:color w:val="auto"/>
          <w:sz w:val="24"/>
          <w:highlight w:val="none"/>
          <w:u w:val="single"/>
        </w:rPr>
        <w:t xml:space="preserve">   </w:t>
      </w:r>
      <w:r>
        <w:rPr>
          <w:color w:val="auto"/>
          <w:sz w:val="24"/>
          <w:highlight w:val="none"/>
        </w:rPr>
        <w:t>%。</w:t>
      </w:r>
    </w:p>
    <w:p w14:paraId="4911CB26">
      <w:pPr>
        <w:autoSpaceDE w:val="0"/>
        <w:autoSpaceDN w:val="0"/>
        <w:adjustRightInd w:val="0"/>
        <w:spacing w:line="360" w:lineRule="auto"/>
        <w:ind w:firstLine="480" w:firstLineChars="200"/>
        <w:contextualSpacing/>
        <w:jc w:val="left"/>
        <w:rPr>
          <w:color w:val="auto"/>
          <w:sz w:val="24"/>
          <w:highlight w:val="none"/>
        </w:rPr>
      </w:pPr>
      <w:r>
        <w:rPr>
          <w:color w:val="auto"/>
          <w:sz w:val="24"/>
          <w:highlight w:val="none"/>
        </w:rPr>
        <w:t>（4）本项目竣工验收通过以后，在次月的</w:t>
      </w:r>
      <w:r>
        <w:rPr>
          <w:rFonts w:hint="eastAsia"/>
          <w:color w:val="auto"/>
          <w:sz w:val="24"/>
          <w:highlight w:val="none"/>
          <w:u w:val="single"/>
        </w:rPr>
        <w:t xml:space="preserve">   </w:t>
      </w:r>
      <w:r>
        <w:rPr>
          <w:color w:val="auto"/>
          <w:sz w:val="24"/>
          <w:highlight w:val="none"/>
        </w:rPr>
        <w:t>日前支付至全部款项的</w:t>
      </w:r>
      <w:r>
        <w:rPr>
          <w:rFonts w:hint="eastAsia"/>
          <w:color w:val="auto"/>
          <w:sz w:val="24"/>
          <w:highlight w:val="none"/>
          <w:u w:val="single"/>
        </w:rPr>
        <w:t xml:space="preserve">    </w:t>
      </w:r>
      <w:r>
        <w:rPr>
          <w:color w:val="auto"/>
          <w:sz w:val="24"/>
          <w:highlight w:val="none"/>
        </w:rPr>
        <w:t>%；剩余款项在竣工验收通过以后的</w:t>
      </w:r>
      <w:r>
        <w:rPr>
          <w:rFonts w:hint="eastAsia"/>
          <w:color w:val="auto"/>
          <w:sz w:val="24"/>
          <w:highlight w:val="none"/>
          <w:u w:val="single"/>
        </w:rPr>
        <w:t xml:space="preserve">      </w:t>
      </w:r>
      <w:r>
        <w:rPr>
          <w:color w:val="auto"/>
          <w:sz w:val="24"/>
          <w:highlight w:val="none"/>
        </w:rPr>
        <w:t>内付清。</w:t>
      </w:r>
    </w:p>
    <w:p w14:paraId="27A28DEB">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4、其他支付方式：</w:t>
      </w:r>
      <w:r>
        <w:rPr>
          <w:rFonts w:hint="eastAsia"/>
          <w:color w:val="auto"/>
          <w:kern w:val="0"/>
          <w:sz w:val="24"/>
          <w:highlight w:val="none"/>
          <w:u w:val="single"/>
        </w:rPr>
        <w:t xml:space="preserve">        </w:t>
      </w:r>
      <w:r>
        <w:rPr>
          <w:color w:val="auto"/>
          <w:kern w:val="0"/>
          <w:sz w:val="24"/>
          <w:highlight w:val="none"/>
        </w:rPr>
        <w:t>。</w:t>
      </w:r>
    </w:p>
    <w:p w14:paraId="499F204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（三）货款支付的其他约定</w:t>
      </w:r>
    </w:p>
    <w:p w14:paraId="770BF1A5">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w:t>
      </w:r>
      <w:r>
        <w:rPr>
          <w:rFonts w:hint="eastAsia"/>
          <w:color w:val="auto"/>
          <w:kern w:val="0"/>
          <w:sz w:val="24"/>
          <w:highlight w:val="none"/>
        </w:rPr>
        <w:t>每次</w:t>
      </w:r>
      <w:r>
        <w:rPr>
          <w:color w:val="auto"/>
          <w:kern w:val="0"/>
          <w:sz w:val="24"/>
          <w:highlight w:val="none"/>
        </w:rPr>
        <w:t>乙方在甲方付款前</w:t>
      </w:r>
      <w:r>
        <w:rPr>
          <w:color w:val="auto"/>
          <w:sz w:val="24"/>
          <w:highlight w:val="none"/>
        </w:rPr>
        <w:t>必须提供符合国家现行税法规定的合法有效等额</w:t>
      </w:r>
      <w:r>
        <w:rPr>
          <w:rFonts w:hint="eastAsia"/>
          <w:color w:val="auto"/>
          <w:sz w:val="24"/>
          <w:highlight w:val="none"/>
        </w:rPr>
        <w:t>增值税</w:t>
      </w:r>
      <w:r>
        <w:rPr>
          <w:color w:val="auto"/>
          <w:sz w:val="24"/>
          <w:highlight w:val="none"/>
        </w:rPr>
        <w:t>发票</w:t>
      </w:r>
      <w:r>
        <w:rPr>
          <w:color w:val="auto"/>
          <w:kern w:val="0"/>
          <w:sz w:val="24"/>
          <w:highlight w:val="none"/>
        </w:rPr>
        <w:t>，否则甲方有权暂停付款</w:t>
      </w:r>
      <w:r>
        <w:rPr>
          <w:rFonts w:hint="eastAsia"/>
          <w:color w:val="auto"/>
          <w:kern w:val="0"/>
          <w:sz w:val="24"/>
          <w:highlight w:val="none"/>
          <w:lang w:eastAsia="zh-CN"/>
        </w:rPr>
        <w:t>，</w:t>
      </w:r>
      <w:r>
        <w:rPr>
          <w:rFonts w:hint="eastAsia"/>
          <w:color w:val="auto"/>
          <w:kern w:val="0"/>
          <w:sz w:val="24"/>
          <w:highlight w:val="none"/>
          <w:lang w:val="en-US" w:eastAsia="zh-CN"/>
        </w:rPr>
        <w:t>且因此不承担任何违约责任</w:t>
      </w:r>
      <w:r>
        <w:rPr>
          <w:color w:val="auto"/>
          <w:kern w:val="0"/>
          <w:sz w:val="24"/>
          <w:highlight w:val="none"/>
        </w:rPr>
        <w:t>。</w:t>
      </w:r>
    </w:p>
    <w:p w14:paraId="38999F8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2、甲方可以支票、银行承兑汇票、商业承兑汇票或者银行转账汇款支付货款，乙方</w:t>
      </w:r>
      <w:r>
        <w:rPr>
          <w:color w:val="auto"/>
          <w:sz w:val="24"/>
          <w:highlight w:val="none"/>
        </w:rPr>
        <w:t>如需用银行承兑汇票或商业承兑汇票支付，贴息费用</w:t>
      </w:r>
      <w:r>
        <w:rPr>
          <w:rFonts w:hint="eastAsia"/>
          <w:color w:val="auto"/>
          <w:sz w:val="24"/>
          <w:highlight w:val="none"/>
        </w:rPr>
        <w:t>由</w:t>
      </w:r>
      <w:r>
        <w:rPr>
          <w:color w:val="auto"/>
          <w:sz w:val="24"/>
          <w:highlight w:val="none"/>
        </w:rPr>
        <w:t>乙方承担。</w:t>
      </w:r>
      <w:r>
        <w:rPr>
          <w:color w:val="auto"/>
          <w:kern w:val="0"/>
          <w:sz w:val="24"/>
          <w:highlight w:val="none"/>
        </w:rPr>
        <w:t>乙方确认收款账户如下：收款单位：</w:t>
      </w:r>
      <w:r>
        <w:rPr>
          <w:rFonts w:hint="eastAsia"/>
          <w:color w:val="auto"/>
          <w:kern w:val="0"/>
          <w:sz w:val="24"/>
          <w:highlight w:val="none"/>
          <w:u w:val="single"/>
        </w:rPr>
        <w:t xml:space="preserve">            </w:t>
      </w:r>
      <w:r>
        <w:rPr>
          <w:color w:val="auto"/>
          <w:kern w:val="0"/>
          <w:sz w:val="24"/>
          <w:highlight w:val="none"/>
        </w:rPr>
        <w:t>，开户银行：</w:t>
      </w:r>
      <w:r>
        <w:rPr>
          <w:rFonts w:hint="eastAsia"/>
          <w:color w:val="auto"/>
          <w:kern w:val="0"/>
          <w:sz w:val="24"/>
          <w:highlight w:val="none"/>
          <w:u w:val="single"/>
        </w:rPr>
        <w:t xml:space="preserve">                </w:t>
      </w:r>
      <w:r>
        <w:rPr>
          <w:color w:val="auto"/>
          <w:kern w:val="0"/>
          <w:sz w:val="24"/>
          <w:highlight w:val="none"/>
        </w:rPr>
        <w:t>，银行账号：</w:t>
      </w:r>
      <w:r>
        <w:rPr>
          <w:rFonts w:hint="eastAsia"/>
          <w:color w:val="auto"/>
          <w:kern w:val="0"/>
          <w:sz w:val="24"/>
          <w:highlight w:val="none"/>
          <w:u w:val="single"/>
        </w:rPr>
        <w:t xml:space="preserve">                     </w:t>
      </w:r>
      <w:r>
        <w:rPr>
          <w:color w:val="auto"/>
          <w:kern w:val="0"/>
          <w:sz w:val="24"/>
          <w:highlight w:val="none"/>
        </w:rPr>
        <w:t>。</w:t>
      </w:r>
    </w:p>
    <w:p w14:paraId="67FA56F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3、甲方在支付货款前，有权扣除乙方违约造成的违约金、损失</w:t>
      </w:r>
      <w:r>
        <w:rPr>
          <w:color w:val="auto"/>
          <w:sz w:val="24"/>
          <w:highlight w:val="none"/>
        </w:rPr>
        <w:t>或者乙方应承担的费用等</w:t>
      </w:r>
      <w:r>
        <w:rPr>
          <w:rFonts w:hint="eastAsia"/>
          <w:color w:val="auto"/>
          <w:sz w:val="24"/>
          <w:highlight w:val="none"/>
          <w:lang w:val="en-US" w:eastAsia="zh-CN"/>
        </w:rPr>
        <w:t>各类</w:t>
      </w:r>
      <w:r>
        <w:rPr>
          <w:color w:val="auto"/>
          <w:sz w:val="24"/>
          <w:highlight w:val="none"/>
        </w:rPr>
        <w:t>款项</w:t>
      </w:r>
      <w:r>
        <w:rPr>
          <w:color w:val="auto"/>
          <w:kern w:val="0"/>
          <w:sz w:val="24"/>
          <w:highlight w:val="none"/>
        </w:rPr>
        <w:t>。</w:t>
      </w:r>
    </w:p>
    <w:p w14:paraId="6AD6BC38">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4、乙方收款账户发生变更时，应</w:t>
      </w:r>
      <w:r>
        <w:rPr>
          <w:rFonts w:hint="eastAsia"/>
          <w:color w:val="auto"/>
          <w:kern w:val="0"/>
          <w:sz w:val="24"/>
          <w:highlight w:val="none"/>
          <w:lang w:val="en-US" w:eastAsia="zh-CN"/>
        </w:rPr>
        <w:t>在变更后三日内</w:t>
      </w:r>
      <w:r>
        <w:rPr>
          <w:color w:val="auto"/>
          <w:kern w:val="0"/>
          <w:sz w:val="24"/>
          <w:highlight w:val="none"/>
        </w:rPr>
        <w:t>向甲方书面提出，否则甲方按照本合同约定账户付款仍视为乙方收到相应货款。</w:t>
      </w:r>
    </w:p>
    <w:p w14:paraId="3AEA3AB3">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5、乙方收取尾款时应向甲方出具结算承诺</w:t>
      </w:r>
      <w:r>
        <w:rPr>
          <w:rFonts w:hint="eastAsia"/>
          <w:color w:val="auto"/>
          <w:kern w:val="0"/>
          <w:sz w:val="24"/>
          <w:highlight w:val="none"/>
        </w:rPr>
        <w:t>声明</w:t>
      </w:r>
      <w:r>
        <w:rPr>
          <w:b/>
          <w:color w:val="auto"/>
          <w:kern w:val="0"/>
          <w:sz w:val="24"/>
          <w:highlight w:val="none"/>
        </w:rPr>
        <w:t>（见合同附件1）</w:t>
      </w:r>
      <w:r>
        <w:rPr>
          <w:color w:val="auto"/>
          <w:kern w:val="0"/>
          <w:sz w:val="24"/>
          <w:highlight w:val="none"/>
        </w:rPr>
        <w:t>。</w:t>
      </w:r>
    </w:p>
    <w:p w14:paraId="26D12A2A">
      <w:pPr>
        <w:autoSpaceDE w:val="0"/>
        <w:autoSpaceDN w:val="0"/>
        <w:adjustRightInd w:val="0"/>
        <w:spacing w:line="360" w:lineRule="auto"/>
        <w:ind w:firstLine="480" w:firstLineChars="200"/>
        <w:contextualSpacing/>
        <w:jc w:val="left"/>
        <w:rPr>
          <w:rFonts w:hint="eastAsia"/>
          <w:color w:val="auto"/>
          <w:kern w:val="0"/>
          <w:sz w:val="24"/>
          <w:highlight w:val="none"/>
        </w:rPr>
      </w:pPr>
      <w:r>
        <w:rPr>
          <w:color w:val="auto"/>
          <w:kern w:val="0"/>
          <w:sz w:val="24"/>
          <w:highlight w:val="none"/>
        </w:rPr>
        <w:t>6、乙方承诺：在合同签约时，乙方对本工程的资金支付情况已作充分了解。乙方同意甲方按照业主资金到位情况给付材料款。由于业主拖欠工程款的，乙方同意甲方变更或延迟支付材料结算款的安排，并愿意协助甲方共同向业主进行资金催讨。</w:t>
      </w:r>
      <w:r>
        <w:rPr>
          <w:rFonts w:hint="eastAsia"/>
          <w:color w:val="auto"/>
          <w:kern w:val="0"/>
          <w:sz w:val="24"/>
          <w:highlight w:val="none"/>
        </w:rPr>
        <w:t>由于业主迟延支付而造成本合同的资金迟延支付的，不视为甲方违约，甲方不承担责任。</w:t>
      </w:r>
    </w:p>
    <w:p w14:paraId="501DA71B">
      <w:pPr>
        <w:pStyle w:val="17"/>
        <w:spacing w:line="360" w:lineRule="auto"/>
        <w:ind w:firstLine="480" w:firstLineChars="200"/>
        <w:rPr>
          <w:rFonts w:hint="default" w:eastAsia="宋体"/>
          <w:color w:val="auto"/>
          <w:highlight w:val="none"/>
          <w:lang w:val="en-US" w:eastAsia="zh-CN"/>
        </w:rPr>
      </w:pPr>
      <w:r>
        <w:rPr>
          <w:rFonts w:hint="eastAsia"/>
          <w:color w:val="auto"/>
          <w:kern w:val="0"/>
          <w:sz w:val="24"/>
          <w:highlight w:val="none"/>
          <w:lang w:val="en-US" w:eastAsia="zh-CN"/>
        </w:rPr>
        <w:t>7、乙方承诺：认可建设单位或建设单位聘请的审计机构的审计结果，或后期上级单位的巡视、审计等结果，并同意按照上述结果调整本合同的付款金额和时间，双方互不追究违约责任。</w:t>
      </w:r>
    </w:p>
    <w:p w14:paraId="5C59B237">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lang w:val="en-US" w:eastAsia="zh-CN"/>
        </w:rPr>
        <w:t>8</w:t>
      </w:r>
      <w:r>
        <w:rPr>
          <w:b/>
          <w:color w:val="auto"/>
          <w:kern w:val="0"/>
          <w:sz w:val="24"/>
          <w:highlight w:val="none"/>
          <w:u w:val="single"/>
        </w:rPr>
        <w:t>、甲方禁止项目部及任何人员以甲方或以甲方</w:t>
      </w:r>
      <w:r>
        <w:rPr>
          <w:rFonts w:hint="eastAsia"/>
          <w:b/>
          <w:color w:val="auto"/>
          <w:kern w:val="0"/>
          <w:sz w:val="24"/>
          <w:highlight w:val="none"/>
          <w:u w:val="single"/>
        </w:rPr>
        <w:t>部门</w:t>
      </w:r>
      <w:r>
        <w:rPr>
          <w:b/>
          <w:color w:val="auto"/>
          <w:kern w:val="0"/>
          <w:sz w:val="24"/>
          <w:highlight w:val="none"/>
          <w:u w:val="single"/>
        </w:rPr>
        <w:t>或以甲方项目部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乙方应按照实际发生的货款和本合同约定的付款方式向甲方收取货款，收款时应核对当期甲方应付款金额，如甲方支付的货款超过当期实际应付金额，则乙方应将多收的货款立即返还甲方。</w:t>
      </w:r>
    </w:p>
    <w:p w14:paraId="5A408A78">
      <w:pPr>
        <w:autoSpaceDE w:val="0"/>
        <w:autoSpaceDN w:val="0"/>
        <w:adjustRightIn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九</w:t>
      </w:r>
      <w:r>
        <w:rPr>
          <w:b/>
          <w:color w:val="auto"/>
          <w:kern w:val="0"/>
          <w:sz w:val="24"/>
          <w:highlight w:val="none"/>
        </w:rPr>
        <w:t>、合同解除与变更</w:t>
      </w:r>
    </w:p>
    <w:p w14:paraId="619B5F47">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1、因不可抗力致使不能实现合同目的等原因，经甲、乙双方协商一致同意可解除合同。</w:t>
      </w:r>
    </w:p>
    <w:p w14:paraId="3DEAE37F">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2、甲方与建设单位的合同不论何种原因解除时，本合同尚未履行完毕的，则本合同自动终止，双方互不追究违约责任。</w:t>
      </w:r>
    </w:p>
    <w:p w14:paraId="404FD89A">
      <w:pPr>
        <w:autoSpaceDE w:val="0"/>
        <w:autoSpaceDN w:val="0"/>
        <w:adjustRightIn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3、由于非甲方原因，若甲方中途停止施工的超过</w:t>
      </w:r>
      <w:r>
        <w:rPr>
          <w:rFonts w:hint="eastAsia"/>
          <w:color w:val="auto"/>
          <w:kern w:val="0"/>
          <w:sz w:val="24"/>
          <w:highlight w:val="none"/>
          <w:u w:val="single"/>
        </w:rPr>
        <w:t xml:space="preserve">      </w:t>
      </w:r>
      <w:r>
        <w:rPr>
          <w:rFonts w:hint="eastAsia"/>
          <w:color w:val="auto"/>
          <w:kern w:val="0"/>
          <w:sz w:val="24"/>
          <w:highlight w:val="none"/>
        </w:rPr>
        <w:t>个月，甲方有权解除合同。双方互不追究违约责任。</w:t>
      </w:r>
    </w:p>
    <w:p w14:paraId="7F408C0B">
      <w:pPr>
        <w:autoSpaceDE w:val="0"/>
        <w:autoSpaceDN w:val="0"/>
        <w:adjustRightInd w:val="0"/>
        <w:spacing w:line="360" w:lineRule="auto"/>
        <w:ind w:firstLine="482" w:firstLineChars="200"/>
        <w:contextualSpacing/>
        <w:jc w:val="left"/>
        <w:rPr>
          <w:b/>
          <w:color w:val="auto"/>
          <w:kern w:val="0"/>
          <w:sz w:val="24"/>
          <w:highlight w:val="none"/>
        </w:rPr>
      </w:pPr>
      <w:r>
        <w:rPr>
          <w:rFonts w:hint="eastAsia"/>
          <w:b/>
          <w:color w:val="auto"/>
          <w:kern w:val="0"/>
          <w:sz w:val="24"/>
          <w:highlight w:val="none"/>
        </w:rPr>
        <w:t>十</w:t>
      </w:r>
      <w:r>
        <w:rPr>
          <w:b/>
          <w:color w:val="auto"/>
          <w:kern w:val="0"/>
          <w:sz w:val="24"/>
          <w:highlight w:val="none"/>
        </w:rPr>
        <w:t>、违约责任</w:t>
      </w:r>
    </w:p>
    <w:p w14:paraId="1642C4D4">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1、乙方迟延交货的，应每日按合同当批次总价的</w:t>
      </w:r>
      <w:r>
        <w:rPr>
          <w:rFonts w:hint="eastAsia"/>
          <w:color w:val="auto"/>
          <w:kern w:val="0"/>
          <w:sz w:val="24"/>
          <w:highlight w:val="none"/>
          <w:u w:val="single"/>
          <w:lang w:val="en-US" w:eastAsia="zh-CN"/>
        </w:rPr>
        <w:t xml:space="preserve"> 1 </w:t>
      </w:r>
      <w:r>
        <w:rPr>
          <w:color w:val="auto"/>
          <w:kern w:val="0"/>
          <w:sz w:val="24"/>
          <w:highlight w:val="none"/>
        </w:rPr>
        <w:t>%计算违约金，若迟延交货导致甲方损失的（包括但不限于甲方停工期间的现场人工工资、机械设备及周转材料租赁费用，以及</w:t>
      </w:r>
      <w:r>
        <w:rPr>
          <w:color w:val="auto"/>
          <w:sz w:val="24"/>
          <w:highlight w:val="none"/>
        </w:rPr>
        <w:t>第三方向甲方主张的工期延误赔偿</w:t>
      </w:r>
      <w:r>
        <w:rPr>
          <w:rFonts w:hint="eastAsia"/>
          <w:color w:val="auto"/>
          <w:sz w:val="24"/>
          <w:highlight w:val="none"/>
          <w:lang w:val="en-US" w:eastAsia="zh-CN"/>
        </w:rPr>
        <w:t>以及其他违约金</w:t>
      </w:r>
      <w:r>
        <w:rPr>
          <w:color w:val="auto"/>
          <w:sz w:val="24"/>
          <w:highlight w:val="none"/>
        </w:rPr>
        <w:t>等），</w:t>
      </w:r>
      <w:r>
        <w:rPr>
          <w:color w:val="auto"/>
          <w:kern w:val="0"/>
          <w:sz w:val="24"/>
          <w:highlight w:val="none"/>
        </w:rPr>
        <w:t xml:space="preserve">由乙方承担赔偿责任。同时，甲方有权迟延支付货款，乙方不得以此为由中断或迟延后续供货。 </w:t>
      </w:r>
    </w:p>
    <w:p w14:paraId="122D561B">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2、乙方交付的货物不符合约定的，甲方可要求更换，若乙方更换导致逾期交货的，应按照本条第1款约定支付违约金和赔偿甲方损失；若乙方无法更换的，则乙方应按照不符合约定部分价款的</w:t>
      </w:r>
      <w:r>
        <w:rPr>
          <w:color w:val="auto"/>
          <w:kern w:val="0"/>
          <w:sz w:val="24"/>
          <w:highlight w:val="none"/>
          <w:u w:val="single"/>
        </w:rPr>
        <w:t xml:space="preserve"> </w:t>
      </w:r>
      <w:r>
        <w:rPr>
          <w:rFonts w:hint="eastAsia"/>
          <w:color w:val="auto"/>
          <w:kern w:val="0"/>
          <w:sz w:val="24"/>
          <w:highlight w:val="none"/>
          <w:u w:val="single"/>
        </w:rPr>
        <w:t>10</w:t>
      </w:r>
      <w:r>
        <w:rPr>
          <w:color w:val="auto"/>
          <w:kern w:val="0"/>
          <w:sz w:val="24"/>
          <w:highlight w:val="none"/>
          <w:u w:val="single"/>
        </w:rPr>
        <w:t xml:space="preserve"> %</w:t>
      </w:r>
      <w:r>
        <w:rPr>
          <w:color w:val="auto"/>
          <w:kern w:val="0"/>
          <w:sz w:val="24"/>
          <w:highlight w:val="none"/>
        </w:rPr>
        <w:t>向甲方支付违约金，同时赔偿甲方实际损失。</w:t>
      </w:r>
    </w:p>
    <w:p w14:paraId="623389D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3、乙方违反质量保证或保修义务的，甲方有权自行或委托第三方处理，乙方应</w:t>
      </w:r>
      <w:r>
        <w:rPr>
          <w:rFonts w:hint="eastAsia"/>
          <w:color w:val="auto"/>
          <w:kern w:val="0"/>
          <w:sz w:val="24"/>
          <w:highlight w:val="none"/>
        </w:rPr>
        <w:t>承担</w:t>
      </w:r>
      <w:r>
        <w:rPr>
          <w:color w:val="auto"/>
          <w:kern w:val="0"/>
          <w:sz w:val="24"/>
          <w:highlight w:val="none"/>
        </w:rPr>
        <w:t>甲方</w:t>
      </w:r>
      <w:r>
        <w:rPr>
          <w:rFonts w:hint="eastAsia"/>
          <w:color w:val="auto"/>
          <w:kern w:val="0"/>
          <w:sz w:val="24"/>
          <w:highlight w:val="none"/>
        </w:rPr>
        <w:t>全部</w:t>
      </w:r>
      <w:r>
        <w:rPr>
          <w:color w:val="auto"/>
          <w:kern w:val="0"/>
          <w:sz w:val="24"/>
          <w:highlight w:val="none"/>
        </w:rPr>
        <w:t>处理费用</w:t>
      </w:r>
      <w:r>
        <w:rPr>
          <w:rFonts w:hint="eastAsia"/>
          <w:color w:val="auto"/>
          <w:kern w:val="0"/>
          <w:sz w:val="24"/>
          <w:highlight w:val="none"/>
        </w:rPr>
        <w:t>，并支付处理费用</w:t>
      </w:r>
      <w:r>
        <w:rPr>
          <w:color w:val="auto"/>
          <w:kern w:val="0"/>
          <w:sz w:val="24"/>
          <w:highlight w:val="none"/>
        </w:rPr>
        <w:t>的</w:t>
      </w:r>
      <w:r>
        <w:rPr>
          <w:rFonts w:hint="eastAsia"/>
          <w:color w:val="auto"/>
          <w:kern w:val="0"/>
          <w:sz w:val="24"/>
          <w:highlight w:val="none"/>
          <w:u w:val="single"/>
        </w:rPr>
        <w:t xml:space="preserve">  150  </w:t>
      </w:r>
      <w:r>
        <w:rPr>
          <w:color w:val="auto"/>
          <w:kern w:val="0"/>
          <w:sz w:val="24"/>
          <w:highlight w:val="none"/>
        </w:rPr>
        <w:t>%</w:t>
      </w:r>
      <w:r>
        <w:rPr>
          <w:rFonts w:hint="eastAsia"/>
          <w:color w:val="auto"/>
          <w:kern w:val="0"/>
          <w:sz w:val="24"/>
          <w:highlight w:val="none"/>
          <w:lang w:val="en-US" w:eastAsia="zh-CN"/>
        </w:rPr>
        <w:t>作为</w:t>
      </w:r>
      <w:r>
        <w:rPr>
          <w:rFonts w:hint="eastAsia"/>
          <w:color w:val="auto"/>
          <w:kern w:val="0"/>
          <w:sz w:val="24"/>
          <w:highlight w:val="none"/>
        </w:rPr>
        <w:t>违约金</w:t>
      </w:r>
      <w:r>
        <w:rPr>
          <w:color w:val="auto"/>
          <w:kern w:val="0"/>
          <w:sz w:val="24"/>
          <w:highlight w:val="none"/>
        </w:rPr>
        <w:t>。</w:t>
      </w:r>
      <w:r>
        <w:rPr>
          <w:rFonts w:hint="eastAsia"/>
          <w:color w:val="auto"/>
          <w:kern w:val="0"/>
          <w:sz w:val="24"/>
          <w:highlight w:val="none"/>
        </w:rPr>
        <w:t>造成损失的，应赔偿损失。</w:t>
      </w:r>
    </w:p>
    <w:p w14:paraId="190E74C6">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4、乙方如累计超过</w:t>
      </w:r>
      <w:r>
        <w:rPr>
          <w:rFonts w:hint="eastAsia"/>
          <w:color w:val="auto"/>
          <w:kern w:val="0"/>
          <w:sz w:val="24"/>
          <w:highlight w:val="none"/>
          <w:u w:val="single"/>
        </w:rPr>
        <w:t xml:space="preserve">  1  </w:t>
      </w:r>
      <w:r>
        <w:rPr>
          <w:color w:val="auto"/>
          <w:kern w:val="0"/>
          <w:sz w:val="24"/>
          <w:highlight w:val="none"/>
        </w:rPr>
        <w:t>天无法按时供货，或者乙方交付的不符合合同约定货物达到本合同暂定总价的</w:t>
      </w:r>
      <w:r>
        <w:rPr>
          <w:rFonts w:hint="eastAsia"/>
          <w:color w:val="auto"/>
          <w:kern w:val="0"/>
          <w:sz w:val="24"/>
          <w:highlight w:val="none"/>
          <w:u w:val="single"/>
        </w:rPr>
        <w:t xml:space="preserve">  1  </w:t>
      </w:r>
      <w:r>
        <w:rPr>
          <w:color w:val="auto"/>
          <w:kern w:val="0"/>
          <w:sz w:val="24"/>
          <w:highlight w:val="none"/>
        </w:rPr>
        <w:t>%的，或者乙方违反本合同约定停止供货的，甲方有权解除本合同另选其他供应商，乙方应支付本合同暂定总价的</w:t>
      </w:r>
      <w:r>
        <w:rPr>
          <w:rFonts w:hint="eastAsia"/>
          <w:color w:val="auto"/>
          <w:kern w:val="0"/>
          <w:sz w:val="24"/>
          <w:highlight w:val="none"/>
          <w:u w:val="single"/>
        </w:rPr>
        <w:t xml:space="preserve"> 2  </w:t>
      </w:r>
      <w:r>
        <w:rPr>
          <w:color w:val="auto"/>
          <w:kern w:val="0"/>
          <w:sz w:val="24"/>
          <w:highlight w:val="none"/>
        </w:rPr>
        <w:t>%的违约金并赔偿甲方造成的损失。</w:t>
      </w:r>
    </w:p>
    <w:p w14:paraId="1469249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5、除本合同约定外，</w:t>
      </w:r>
      <w:r>
        <w:rPr>
          <w:rFonts w:hint="eastAsia"/>
          <w:color w:val="auto"/>
          <w:kern w:val="0"/>
          <w:sz w:val="24"/>
          <w:highlight w:val="none"/>
        </w:rPr>
        <w:t>乙</w:t>
      </w:r>
      <w:r>
        <w:rPr>
          <w:color w:val="auto"/>
          <w:kern w:val="0"/>
          <w:sz w:val="24"/>
          <w:highlight w:val="none"/>
        </w:rPr>
        <w:t>方擅自解除合同或根本性违约的，应支付本合同暂定总价的</w:t>
      </w:r>
      <w:r>
        <w:rPr>
          <w:rFonts w:hint="eastAsia"/>
          <w:color w:val="auto"/>
          <w:kern w:val="0"/>
          <w:sz w:val="24"/>
          <w:highlight w:val="none"/>
        </w:rPr>
        <w:t>10</w:t>
      </w:r>
      <w:r>
        <w:rPr>
          <w:color w:val="auto"/>
          <w:kern w:val="0"/>
          <w:sz w:val="24"/>
          <w:highlight w:val="none"/>
        </w:rPr>
        <w:t>%的违约金，同时赔偿</w:t>
      </w:r>
      <w:r>
        <w:rPr>
          <w:rFonts w:hint="eastAsia"/>
          <w:color w:val="auto"/>
          <w:kern w:val="0"/>
          <w:sz w:val="24"/>
          <w:highlight w:val="none"/>
        </w:rPr>
        <w:t>甲</w:t>
      </w:r>
      <w:r>
        <w:rPr>
          <w:color w:val="auto"/>
          <w:kern w:val="0"/>
          <w:sz w:val="24"/>
          <w:highlight w:val="none"/>
        </w:rPr>
        <w:t>方的实际损失。</w:t>
      </w:r>
    </w:p>
    <w:p w14:paraId="114581E6">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6、乙方应保证按时支付其下游供应商材料款等一切款项，杜绝纠纷发生。若发生因拖欠款项等事项导致讨薪、聚众扰民事件、上访主管部门等对甲方产生不利影响的事件或纠纷，同时每发生一起该类事件，甲方将对乙方处以罚款100000元，该罚款可从乙方工程款中直接扣除。</w:t>
      </w:r>
    </w:p>
    <w:p w14:paraId="62802DF2">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rPr>
        <w:t>十一</w:t>
      </w:r>
      <w:r>
        <w:rPr>
          <w:b/>
          <w:color w:val="auto"/>
          <w:kern w:val="0"/>
          <w:sz w:val="24"/>
          <w:highlight w:val="none"/>
          <w:u w:val="single"/>
        </w:rPr>
        <w:t>、争议解决方式</w:t>
      </w:r>
    </w:p>
    <w:p w14:paraId="680CD965">
      <w:pPr>
        <w:autoSpaceDE w:val="0"/>
        <w:autoSpaceDN w:val="0"/>
        <w:spacing w:line="360" w:lineRule="auto"/>
        <w:ind w:firstLine="482"/>
        <w:contextualSpacing/>
        <w:jc w:val="left"/>
        <w:rPr>
          <w:b/>
          <w:bCs/>
          <w:color w:val="auto"/>
          <w:sz w:val="24"/>
          <w:highlight w:val="none"/>
          <w:u w:val="single"/>
        </w:rPr>
      </w:pPr>
      <w:r>
        <w:rPr>
          <w:b/>
          <w:bCs/>
          <w:color w:val="auto"/>
          <w:sz w:val="24"/>
          <w:highlight w:val="none"/>
          <w:u w:val="single"/>
        </w:rPr>
        <w:t>1、对因本合同引起或与之相关的任何争议、纠纷或权利主张，</w:t>
      </w:r>
      <w:r>
        <w:rPr>
          <w:rFonts w:hint="eastAsia"/>
          <w:b/>
          <w:bCs/>
          <w:color w:val="auto"/>
          <w:sz w:val="24"/>
          <w:highlight w:val="none"/>
          <w:u w:val="single"/>
        </w:rPr>
        <w:t>乙</w:t>
      </w:r>
      <w:r>
        <w:rPr>
          <w:b/>
          <w:bCs/>
          <w:color w:val="auto"/>
          <w:sz w:val="24"/>
          <w:highlight w:val="none"/>
          <w:u w:val="single"/>
        </w:rPr>
        <w:t>方如欲通过本条第3款约定的方式解决，则必须在提起第3款约定的争议解决方式前，向</w:t>
      </w:r>
      <w:r>
        <w:rPr>
          <w:rFonts w:hint="eastAsia"/>
          <w:b/>
          <w:bCs/>
          <w:color w:val="auto"/>
          <w:sz w:val="24"/>
          <w:highlight w:val="none"/>
          <w:u w:val="single"/>
        </w:rPr>
        <w:t>甲</w:t>
      </w:r>
      <w:r>
        <w:rPr>
          <w:b/>
          <w:bCs/>
          <w:color w:val="auto"/>
          <w:sz w:val="24"/>
          <w:highlight w:val="none"/>
          <w:u w:val="single"/>
        </w:rPr>
        <w:t>方发出书面和解申请书，并告知</w:t>
      </w:r>
      <w:r>
        <w:rPr>
          <w:rFonts w:hint="eastAsia"/>
          <w:b/>
          <w:bCs/>
          <w:color w:val="auto"/>
          <w:sz w:val="24"/>
          <w:highlight w:val="none"/>
          <w:u w:val="single"/>
        </w:rPr>
        <w:t>甲</w:t>
      </w:r>
      <w:r>
        <w:rPr>
          <w:b/>
          <w:bCs/>
          <w:color w:val="auto"/>
          <w:sz w:val="24"/>
          <w:highlight w:val="none"/>
          <w:u w:val="single"/>
        </w:rPr>
        <w:t>方争议、纠纷或权利主张之事实及依据，在</w:t>
      </w:r>
      <w:r>
        <w:rPr>
          <w:rFonts w:hint="eastAsia"/>
          <w:b/>
          <w:bCs/>
          <w:color w:val="auto"/>
          <w:sz w:val="24"/>
          <w:highlight w:val="none"/>
          <w:u w:val="single"/>
        </w:rPr>
        <w:t>甲</w:t>
      </w:r>
      <w:r>
        <w:rPr>
          <w:b/>
          <w:bCs/>
          <w:color w:val="auto"/>
          <w:sz w:val="24"/>
          <w:highlight w:val="none"/>
          <w:u w:val="single"/>
        </w:rPr>
        <w:t>方收到上述通知之日起3个月为双方和解期限。在和解期限内，若双方达成和解协议的，双方的权利义务按照和解协议履行；若未达成和解协议的，</w:t>
      </w:r>
      <w:r>
        <w:rPr>
          <w:rFonts w:hint="eastAsia"/>
          <w:b/>
          <w:bCs/>
          <w:color w:val="auto"/>
          <w:sz w:val="24"/>
          <w:highlight w:val="none"/>
          <w:u w:val="single"/>
        </w:rPr>
        <w:t>乙方</w:t>
      </w:r>
      <w:r>
        <w:rPr>
          <w:b/>
          <w:bCs/>
          <w:color w:val="auto"/>
          <w:sz w:val="24"/>
          <w:highlight w:val="none"/>
          <w:u w:val="single"/>
        </w:rPr>
        <w:t>可采取本条第3款约定的争议解决方式。</w:t>
      </w:r>
    </w:p>
    <w:p w14:paraId="775A0C14">
      <w:pPr>
        <w:autoSpaceDE w:val="0"/>
        <w:autoSpaceDN w:val="0"/>
        <w:spacing w:line="360" w:lineRule="auto"/>
        <w:ind w:firstLine="482"/>
        <w:contextualSpacing/>
        <w:jc w:val="left"/>
        <w:rPr>
          <w:b/>
          <w:bCs/>
          <w:color w:val="auto"/>
          <w:sz w:val="24"/>
          <w:highlight w:val="none"/>
          <w:u w:val="single"/>
        </w:rPr>
      </w:pPr>
      <w:r>
        <w:rPr>
          <w:b/>
          <w:bCs/>
          <w:color w:val="auto"/>
          <w:sz w:val="24"/>
          <w:highlight w:val="none"/>
          <w:u w:val="single"/>
        </w:rPr>
        <w:t>2、</w:t>
      </w:r>
      <w:r>
        <w:rPr>
          <w:rFonts w:hint="eastAsia"/>
          <w:b/>
          <w:bCs/>
          <w:color w:val="auto"/>
          <w:sz w:val="24"/>
          <w:highlight w:val="none"/>
          <w:u w:val="single"/>
        </w:rPr>
        <w:t>乙</w:t>
      </w:r>
      <w:r>
        <w:rPr>
          <w:b/>
          <w:bCs/>
          <w:color w:val="auto"/>
          <w:sz w:val="24"/>
          <w:highlight w:val="none"/>
          <w:u w:val="single"/>
        </w:rPr>
        <w:t>方若未履行上述和解程序而直接采用第3款约定的争议解决方式的，则需要向</w:t>
      </w:r>
      <w:r>
        <w:rPr>
          <w:rFonts w:hint="eastAsia"/>
          <w:b/>
          <w:bCs/>
          <w:color w:val="auto"/>
          <w:sz w:val="24"/>
          <w:highlight w:val="none"/>
          <w:u w:val="single"/>
        </w:rPr>
        <w:t>甲</w:t>
      </w:r>
      <w:r>
        <w:rPr>
          <w:b/>
          <w:bCs/>
          <w:color w:val="auto"/>
          <w:sz w:val="24"/>
          <w:highlight w:val="none"/>
          <w:u w:val="single"/>
        </w:rPr>
        <w:t>方</w:t>
      </w:r>
      <w:r>
        <w:rPr>
          <w:rFonts w:hint="eastAsia"/>
          <w:b/>
          <w:bCs/>
          <w:color w:val="auto"/>
          <w:sz w:val="24"/>
          <w:highlight w:val="none"/>
          <w:u w:val="single"/>
        </w:rPr>
        <w:t>支付</w:t>
      </w:r>
      <w:r>
        <w:rPr>
          <w:b/>
          <w:bCs/>
          <w:color w:val="auto"/>
          <w:sz w:val="24"/>
          <w:highlight w:val="none"/>
          <w:u w:val="single"/>
        </w:rPr>
        <w:t>本合同暂定总价</w:t>
      </w:r>
      <w:r>
        <w:rPr>
          <w:rFonts w:hint="eastAsia"/>
          <w:b/>
          <w:bCs/>
          <w:color w:val="auto"/>
          <w:sz w:val="24"/>
          <w:highlight w:val="none"/>
          <w:u w:val="single"/>
        </w:rPr>
        <w:t xml:space="preserve">10 </w:t>
      </w:r>
      <w:r>
        <w:rPr>
          <w:b/>
          <w:bCs/>
          <w:color w:val="auto"/>
          <w:sz w:val="24"/>
          <w:highlight w:val="none"/>
          <w:u w:val="single"/>
        </w:rPr>
        <w:t>%的违约金。</w:t>
      </w:r>
    </w:p>
    <w:p w14:paraId="2B0D95A7">
      <w:pPr>
        <w:autoSpaceDE w:val="0"/>
        <w:autoSpaceDN w:val="0"/>
        <w:adjustRightInd w:val="0"/>
        <w:spacing w:line="360" w:lineRule="auto"/>
        <w:ind w:firstLine="482" w:firstLineChars="200"/>
        <w:contextualSpacing/>
        <w:jc w:val="left"/>
        <w:rPr>
          <w:b/>
          <w:color w:val="auto"/>
          <w:kern w:val="0"/>
          <w:sz w:val="24"/>
          <w:highlight w:val="none"/>
          <w:u w:val="single"/>
        </w:rPr>
      </w:pPr>
      <w:r>
        <w:rPr>
          <w:b/>
          <w:bCs/>
          <w:color w:val="auto"/>
          <w:sz w:val="24"/>
          <w:highlight w:val="none"/>
          <w:u w:val="single"/>
        </w:rPr>
        <w:t>3</w:t>
      </w:r>
      <w:r>
        <w:rPr>
          <w:b/>
          <w:color w:val="auto"/>
          <w:kern w:val="0"/>
          <w:sz w:val="24"/>
          <w:highlight w:val="none"/>
          <w:u w:val="single"/>
        </w:rPr>
        <w:t>、双方和解不成且已超过和解期的，任何一方均可</w:t>
      </w:r>
      <w:r>
        <w:rPr>
          <w:rFonts w:hint="eastAsia"/>
          <w:b/>
          <w:color w:val="auto"/>
          <w:kern w:val="0"/>
          <w:sz w:val="24"/>
          <w:highlight w:val="none"/>
          <w:u w:val="single"/>
        </w:rPr>
        <w:t>向</w:t>
      </w:r>
      <w:r>
        <w:rPr>
          <w:rFonts w:hint="eastAsia"/>
          <w:b/>
          <w:color w:val="auto"/>
          <w:kern w:val="0"/>
          <w:sz w:val="24"/>
          <w:highlight w:val="none"/>
          <w:u w:val="single"/>
          <w:lang w:val="en-US" w:eastAsia="zh-CN"/>
        </w:rPr>
        <w:t>甲方</w:t>
      </w:r>
      <w:r>
        <w:rPr>
          <w:rFonts w:hint="eastAsia"/>
          <w:b/>
          <w:color w:val="auto"/>
          <w:kern w:val="0"/>
          <w:sz w:val="24"/>
          <w:highlight w:val="none"/>
          <w:u w:val="single"/>
        </w:rPr>
        <w:t>所在地人民法院提起诉讼</w:t>
      </w:r>
      <w:r>
        <w:rPr>
          <w:b/>
          <w:color w:val="auto"/>
          <w:kern w:val="0"/>
          <w:sz w:val="24"/>
          <w:highlight w:val="none"/>
          <w:u w:val="single"/>
        </w:rPr>
        <w:t>。</w:t>
      </w:r>
    </w:p>
    <w:p w14:paraId="79E24A41">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二</w:t>
      </w:r>
      <w:r>
        <w:rPr>
          <w:b/>
          <w:color w:val="auto"/>
          <w:kern w:val="0"/>
          <w:sz w:val="24"/>
          <w:highlight w:val="none"/>
        </w:rPr>
        <w:t>、通知与送达</w:t>
      </w:r>
    </w:p>
    <w:p w14:paraId="193D5907">
      <w:pPr>
        <w:snapToGrid w:val="0"/>
        <w:spacing w:before="100" w:beforeAutospacing="1" w:line="360" w:lineRule="auto"/>
        <w:ind w:firstLine="480" w:firstLineChars="200"/>
        <w:contextualSpacing/>
        <w:rPr>
          <w:color w:val="auto"/>
          <w:highlight w:val="none"/>
        </w:rPr>
      </w:pPr>
      <w:r>
        <w:rPr>
          <w:rFonts w:hint="eastAsia"/>
          <w:color w:val="auto"/>
          <w:sz w:val="24"/>
          <w:highlight w:val="none"/>
        </w:rPr>
        <w:t>1</w:t>
      </w:r>
      <w:r>
        <w:rPr>
          <w:color w:val="auto"/>
          <w:sz w:val="24"/>
          <w:highlight w:val="none"/>
        </w:rPr>
        <w:t>、</w:t>
      </w:r>
      <w:r>
        <w:rPr>
          <w:rFonts w:hint="eastAsia"/>
          <w:color w:val="auto"/>
          <w:sz w:val="24"/>
          <w:highlight w:val="none"/>
        </w:rPr>
        <w:t>为便于合同各方及时收到与合同有关的通知、往来文件以及仲裁机构送达的仲裁文书，保证仲裁程序及人民法院执行程序的顺利进行，当事人自愿如实提供经本人</w:t>
      </w:r>
      <w:r>
        <w:rPr>
          <w:color w:val="auto"/>
          <w:sz w:val="24"/>
          <w:highlight w:val="none"/>
        </w:rPr>
        <w:t>确认</w:t>
      </w:r>
      <w:r>
        <w:rPr>
          <w:rFonts w:hint="eastAsia"/>
          <w:color w:val="auto"/>
          <w:sz w:val="24"/>
          <w:highlight w:val="none"/>
        </w:rPr>
        <w:t>的最后</w:t>
      </w:r>
      <w:r>
        <w:rPr>
          <w:color w:val="auto"/>
          <w:sz w:val="24"/>
          <w:highlight w:val="none"/>
        </w:rPr>
        <w:t>送达地址</w:t>
      </w:r>
      <w:r>
        <w:rPr>
          <w:rFonts w:hint="eastAsia"/>
          <w:color w:val="auto"/>
          <w:sz w:val="24"/>
          <w:highlight w:val="none"/>
        </w:rPr>
        <w:t>为</w:t>
      </w:r>
      <w:r>
        <w:rPr>
          <w:color w:val="auto"/>
          <w:sz w:val="24"/>
          <w:highlight w:val="none"/>
        </w:rPr>
        <w:t>：</w:t>
      </w:r>
    </w:p>
    <w:p w14:paraId="2D11BDA9">
      <w:pPr>
        <w:autoSpaceDE w:val="0"/>
        <w:autoSpaceDN w:val="0"/>
        <w:snapToGrid w:val="0"/>
        <w:spacing w:before="100" w:beforeAutospacing="1" w:line="360" w:lineRule="auto"/>
        <w:ind w:firstLine="480" w:firstLineChars="200"/>
        <w:contextualSpacing/>
        <w:rPr>
          <w:rFonts w:hint="default"/>
          <w:color w:val="auto"/>
          <w:sz w:val="24"/>
          <w:highlight w:val="none"/>
          <w:u w:val="single"/>
        </w:rPr>
      </w:pPr>
      <w:r>
        <w:rPr>
          <w:color w:val="auto"/>
          <w:sz w:val="24"/>
          <w:highlight w:val="none"/>
        </w:rPr>
        <w:t>甲方地址：</w:t>
      </w:r>
      <w:r>
        <w:rPr>
          <w:rFonts w:hint="eastAsia"/>
          <w:color w:val="auto"/>
          <w:sz w:val="24"/>
          <w:highlight w:val="none"/>
          <w:u w:val="single"/>
          <w:lang w:eastAsia="zh-CN"/>
        </w:rPr>
        <w:t xml:space="preserve"> </w:t>
      </w:r>
      <w:r>
        <w:rPr>
          <w:rFonts w:hint="eastAsia"/>
          <w:color w:val="auto"/>
          <w:sz w:val="24"/>
          <w:highlight w:val="none"/>
          <w:u w:val="single"/>
          <w:lang w:val="en-US" w:eastAsia="zh-CN"/>
        </w:rPr>
        <w:t xml:space="preserve">                                       </w:t>
      </w:r>
    </w:p>
    <w:p w14:paraId="172D0ED4">
      <w:pPr>
        <w:pStyle w:val="17"/>
        <w:ind w:firstLine="480"/>
        <w:rPr>
          <w:color w:val="auto"/>
          <w:highlight w:val="none"/>
          <w:u w:val="single"/>
        </w:rPr>
      </w:pPr>
      <w:r>
        <w:rPr>
          <w:rFonts w:hint="eastAsia"/>
          <w:color w:val="auto"/>
          <w:highlight w:val="none"/>
        </w:rPr>
        <w:t>邮编：</w:t>
      </w:r>
      <w:r>
        <w:rPr>
          <w:rFonts w:hint="eastAsia"/>
          <w:color w:val="auto"/>
          <w:highlight w:val="none"/>
          <w:u w:val="single"/>
        </w:rPr>
        <w:t xml:space="preserve">          </w:t>
      </w:r>
      <w:r>
        <w:rPr>
          <w:rFonts w:hint="eastAsia"/>
          <w:color w:val="auto"/>
          <w:highlight w:val="none"/>
        </w:rPr>
        <w:t>收件人：</w:t>
      </w:r>
      <w:r>
        <w:rPr>
          <w:rFonts w:hint="eastAsia"/>
          <w:color w:val="auto"/>
          <w:highlight w:val="none"/>
          <w:u w:val="single"/>
        </w:rPr>
        <w:t xml:space="preserve">          </w:t>
      </w:r>
      <w:r>
        <w:rPr>
          <w:rFonts w:hint="eastAsia"/>
          <w:color w:val="auto"/>
          <w:highlight w:val="none"/>
        </w:rPr>
        <w:t>手机短信、接收号码：</w:t>
      </w:r>
      <w:r>
        <w:rPr>
          <w:rFonts w:hint="eastAsia"/>
          <w:color w:val="auto"/>
          <w:highlight w:val="none"/>
          <w:u w:val="single"/>
        </w:rPr>
        <w:t xml:space="preserve">        </w:t>
      </w:r>
    </w:p>
    <w:p w14:paraId="6DDB4583">
      <w:pPr>
        <w:autoSpaceDE w:val="0"/>
        <w:autoSpaceDN w:val="0"/>
        <w:snapToGrid w:val="0"/>
        <w:spacing w:before="100" w:beforeAutospacing="1" w:line="360" w:lineRule="auto"/>
        <w:ind w:firstLine="480" w:firstLineChars="200"/>
        <w:contextualSpacing/>
        <w:rPr>
          <w:color w:val="auto"/>
          <w:sz w:val="24"/>
          <w:highlight w:val="none"/>
          <w:u w:val="single"/>
        </w:rPr>
      </w:pPr>
      <w:r>
        <w:rPr>
          <w:rFonts w:hint="eastAsia"/>
          <w:color w:val="auto"/>
          <w:sz w:val="24"/>
          <w:highlight w:val="none"/>
        </w:rPr>
        <w:t>乙</w:t>
      </w:r>
      <w:r>
        <w:rPr>
          <w:color w:val="auto"/>
          <w:sz w:val="24"/>
          <w:highlight w:val="none"/>
        </w:rPr>
        <w:t>方地址：</w:t>
      </w:r>
      <w:r>
        <w:rPr>
          <w:rFonts w:hint="eastAsia"/>
          <w:color w:val="auto"/>
          <w:sz w:val="24"/>
          <w:highlight w:val="none"/>
          <w:u w:val="single"/>
        </w:rPr>
        <w:t xml:space="preserve">                         </w:t>
      </w:r>
    </w:p>
    <w:p w14:paraId="373D9D5B">
      <w:pPr>
        <w:pStyle w:val="17"/>
        <w:ind w:firstLine="480"/>
        <w:rPr>
          <w:color w:val="auto"/>
          <w:highlight w:val="none"/>
          <w:u w:val="single"/>
        </w:rPr>
      </w:pPr>
      <w:r>
        <w:rPr>
          <w:rFonts w:hint="eastAsia"/>
          <w:color w:val="auto"/>
          <w:highlight w:val="none"/>
        </w:rPr>
        <w:t>邮编：</w:t>
      </w:r>
      <w:r>
        <w:rPr>
          <w:rFonts w:hint="eastAsia"/>
          <w:color w:val="auto"/>
          <w:highlight w:val="none"/>
          <w:u w:val="single"/>
        </w:rPr>
        <w:t xml:space="preserve">         </w:t>
      </w:r>
      <w:r>
        <w:rPr>
          <w:rFonts w:hint="eastAsia"/>
          <w:color w:val="auto"/>
          <w:highlight w:val="none"/>
        </w:rPr>
        <w:t>收件人：</w:t>
      </w:r>
      <w:r>
        <w:rPr>
          <w:rFonts w:hint="eastAsia"/>
          <w:color w:val="auto"/>
          <w:highlight w:val="none"/>
          <w:u w:val="single"/>
        </w:rPr>
        <w:t xml:space="preserve">      </w:t>
      </w:r>
      <w:r>
        <w:rPr>
          <w:rFonts w:hint="eastAsia"/>
          <w:color w:val="auto"/>
          <w:highlight w:val="none"/>
        </w:rPr>
        <w:t>手机短信、接收号码：</w:t>
      </w:r>
      <w:r>
        <w:rPr>
          <w:rFonts w:hint="eastAsia"/>
          <w:color w:val="auto"/>
          <w:highlight w:val="none"/>
          <w:u w:val="single"/>
        </w:rPr>
        <w:t xml:space="preserve">          </w:t>
      </w:r>
    </w:p>
    <w:p w14:paraId="4988C46E">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最后送达地址确认适用仲裁程序和法院执行程序等，送达文书的效力及于本合同纠纷所引发的仲裁程序和执行程序。当事人确认的最后送达地址如发生变更等情形，当事人应在三日内重新确认填写最后送达地址并以书面方式予以通知协议其他各方，否则原确认的最后送达地址继续有效，当事人自行承担由此可能产生的法律后果。</w:t>
      </w:r>
    </w:p>
    <w:p w14:paraId="761AC61E">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2、一方送达地址变更未及时告知相对方或者一方指定的代收人拒绝签收，导致文书未能被实际接收的，文书退回之日或在用邮政特快专递寄出满三天视为送达之日。</w:t>
      </w:r>
    </w:p>
    <w:p w14:paraId="7F35668F">
      <w:pPr>
        <w:snapToGrid w:val="0"/>
        <w:spacing w:before="100" w:beforeAutospacing="1" w:line="360" w:lineRule="auto"/>
        <w:ind w:firstLine="480" w:firstLineChars="200"/>
        <w:contextualSpacing/>
        <w:rPr>
          <w:color w:val="auto"/>
          <w:sz w:val="24"/>
          <w:highlight w:val="none"/>
        </w:rPr>
      </w:pPr>
      <w:r>
        <w:rPr>
          <w:rFonts w:hint="eastAsia"/>
          <w:color w:val="auto"/>
          <w:sz w:val="24"/>
          <w:highlight w:val="none"/>
        </w:rPr>
        <w:t>3、一方未在本合同中载明送达地址的，另一方可按其工商注册地址或户籍登记地址送达。</w:t>
      </w:r>
    </w:p>
    <w:p w14:paraId="5D7E0D02">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十</w:t>
      </w:r>
      <w:r>
        <w:rPr>
          <w:rFonts w:hint="eastAsia"/>
          <w:b/>
          <w:color w:val="auto"/>
          <w:kern w:val="0"/>
          <w:sz w:val="24"/>
          <w:highlight w:val="none"/>
          <w:u w:val="single"/>
        </w:rPr>
        <w:t>三</w:t>
      </w:r>
      <w:r>
        <w:rPr>
          <w:b/>
          <w:color w:val="auto"/>
          <w:kern w:val="0"/>
          <w:sz w:val="24"/>
          <w:highlight w:val="none"/>
          <w:u w:val="single"/>
        </w:rPr>
        <w:t>、甲方特别声明</w:t>
      </w:r>
    </w:p>
    <w:p w14:paraId="1BA3617C">
      <w:pPr>
        <w:autoSpaceDE w:val="0"/>
        <w:autoSpaceDN w:val="0"/>
        <w:adjustRightInd w:val="0"/>
        <w:spacing w:line="360" w:lineRule="auto"/>
        <w:ind w:firstLine="482" w:firstLineChars="200"/>
        <w:contextualSpacing/>
        <w:jc w:val="left"/>
        <w:rPr>
          <w:b/>
          <w:color w:val="auto"/>
          <w:kern w:val="0"/>
          <w:sz w:val="24"/>
          <w:highlight w:val="none"/>
          <w:u w:val="single"/>
        </w:rPr>
      </w:pPr>
      <w:r>
        <w:rPr>
          <w:b/>
          <w:color w:val="auto"/>
          <w:kern w:val="0"/>
          <w:sz w:val="24"/>
          <w:highlight w:val="none"/>
          <w:u w:val="single"/>
        </w:rPr>
        <w:t>甲方不允许项目部人员擅自变更本合同以及以甲方或甲方项目部名义对外借款。甲方与乙方之间签订的任何合同、协议、补充合同、承诺书、确认单等均以甲方加盖公章确认</w:t>
      </w:r>
      <w:r>
        <w:rPr>
          <w:rFonts w:hint="eastAsia"/>
          <w:b/>
          <w:color w:val="auto"/>
          <w:kern w:val="0"/>
          <w:sz w:val="24"/>
          <w:highlight w:val="none"/>
          <w:u w:val="single"/>
        </w:rPr>
        <w:t>（除</w:t>
      </w:r>
      <w:r>
        <w:rPr>
          <w:b/>
          <w:color w:val="auto"/>
          <w:kern w:val="0"/>
          <w:sz w:val="24"/>
          <w:highlight w:val="none"/>
          <w:u w:val="single"/>
        </w:rPr>
        <w:t>对账单、结算单</w:t>
      </w:r>
      <w:r>
        <w:rPr>
          <w:rFonts w:hint="eastAsia"/>
          <w:b/>
          <w:color w:val="auto"/>
          <w:kern w:val="0"/>
          <w:sz w:val="24"/>
          <w:highlight w:val="none"/>
          <w:u w:val="single"/>
        </w:rPr>
        <w:t>允许盖项目部章并经项目负责人签字确认外）</w:t>
      </w:r>
      <w:r>
        <w:rPr>
          <w:b/>
          <w:color w:val="auto"/>
          <w:kern w:val="0"/>
          <w:sz w:val="24"/>
          <w:highlight w:val="none"/>
          <w:u w:val="single"/>
        </w:rPr>
        <w:t>，除此之外，加盖任何项目部印章、技术资料专用章、项目部财务章或项目部人员签名均对甲方不具有效力。乙方应谨慎审查相关文件的签署主体资格和权限，对于相关无权代理人签署的文件，乙方应及时提交甲方追认，甲方未盖章追认的，对甲方不产生效力。乙方与甲方项目部人员相互串通虚构发货单或结算单的，应向甲方支付虚构金额</w:t>
      </w:r>
      <w:r>
        <w:rPr>
          <w:rFonts w:hint="eastAsia"/>
          <w:b/>
          <w:color w:val="auto"/>
          <w:kern w:val="0"/>
          <w:sz w:val="24"/>
          <w:highlight w:val="none"/>
          <w:u w:val="single"/>
        </w:rPr>
        <w:t>2</w:t>
      </w:r>
      <w:r>
        <w:rPr>
          <w:b/>
          <w:color w:val="auto"/>
          <w:kern w:val="0"/>
          <w:sz w:val="24"/>
          <w:highlight w:val="none"/>
          <w:u w:val="single"/>
        </w:rPr>
        <w:t>倍的违约金。</w:t>
      </w:r>
    </w:p>
    <w:p w14:paraId="6276F08F">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四</w:t>
      </w:r>
      <w:r>
        <w:rPr>
          <w:b/>
          <w:color w:val="auto"/>
          <w:kern w:val="0"/>
          <w:sz w:val="24"/>
          <w:highlight w:val="none"/>
        </w:rPr>
        <w:t>、其它</w:t>
      </w:r>
    </w:p>
    <w:p w14:paraId="55DF9D02">
      <w:pPr>
        <w:autoSpaceDE w:val="0"/>
        <w:autoSpaceDN w:val="0"/>
        <w:adjustRightInd w:val="0"/>
        <w:spacing w:line="360" w:lineRule="auto"/>
        <w:ind w:firstLine="480" w:firstLineChars="200"/>
        <w:contextualSpacing/>
        <w:jc w:val="left"/>
        <w:rPr>
          <w:rFonts w:ascii="Times New Roman" w:hAnsi="Times New Roman" w:eastAsia="宋体"/>
          <w:color w:val="auto"/>
          <w:kern w:val="0"/>
          <w:sz w:val="24"/>
          <w:highlight w:val="none"/>
          <w:u w:val="single"/>
        </w:rPr>
      </w:pPr>
      <w:r>
        <w:rPr>
          <w:color w:val="auto"/>
          <w:kern w:val="0"/>
          <w:sz w:val="24"/>
          <w:highlight w:val="none"/>
          <w:u w:val="single"/>
        </w:rPr>
        <w:t>1、本合同内容手写之处，应加盖双方公章</w:t>
      </w:r>
      <w:r>
        <w:rPr>
          <w:rFonts w:hint="eastAsia"/>
          <w:color w:val="auto"/>
          <w:kern w:val="0"/>
          <w:sz w:val="24"/>
          <w:highlight w:val="none"/>
          <w:u w:val="single"/>
        </w:rPr>
        <w:t>，</w:t>
      </w:r>
      <w:r>
        <w:rPr>
          <w:color w:val="auto"/>
          <w:kern w:val="0"/>
          <w:sz w:val="24"/>
          <w:highlight w:val="none"/>
          <w:u w:val="single"/>
        </w:rPr>
        <w:t>否则手写</w:t>
      </w:r>
      <w:r>
        <w:rPr>
          <w:rFonts w:hint="eastAsia"/>
          <w:color w:val="auto"/>
          <w:kern w:val="0"/>
          <w:sz w:val="24"/>
          <w:highlight w:val="none"/>
          <w:u w:val="single"/>
        </w:rPr>
        <w:t>部分</w:t>
      </w:r>
      <w:r>
        <w:rPr>
          <w:color w:val="auto"/>
          <w:kern w:val="0"/>
          <w:sz w:val="24"/>
          <w:highlight w:val="none"/>
          <w:u w:val="single"/>
        </w:rPr>
        <w:t>将不作为双方的</w:t>
      </w:r>
      <w:r>
        <w:rPr>
          <w:rFonts w:ascii="Times New Roman" w:hAnsi="Times New Roman" w:eastAsia="宋体"/>
          <w:color w:val="auto"/>
          <w:kern w:val="0"/>
          <w:sz w:val="24"/>
          <w:highlight w:val="none"/>
          <w:u w:val="single"/>
        </w:rPr>
        <w:t>约束条款。</w:t>
      </w:r>
    </w:p>
    <w:p w14:paraId="36AD8018">
      <w:pPr>
        <w:autoSpaceDE w:val="0"/>
        <w:autoSpaceDN w:val="0"/>
        <w:adjustRightInd w:val="0"/>
        <w:spacing w:line="360" w:lineRule="auto"/>
        <w:ind w:firstLine="480" w:firstLineChars="200"/>
        <w:contextualSpacing/>
        <w:jc w:val="left"/>
        <w:rPr>
          <w:rFonts w:ascii="Times New Roman" w:hAnsi="Times New Roman" w:eastAsia="宋体"/>
          <w:color w:val="auto"/>
          <w:kern w:val="0"/>
          <w:sz w:val="24"/>
          <w:highlight w:val="none"/>
          <w:u w:val="single"/>
        </w:rPr>
      </w:pPr>
      <w:r>
        <w:rPr>
          <w:rFonts w:ascii="Times New Roman" w:hAnsi="Times New Roman" w:eastAsia="宋体"/>
          <w:color w:val="auto"/>
          <w:kern w:val="0"/>
          <w:sz w:val="24"/>
          <w:highlight w:val="none"/>
          <w:u w:val="single"/>
        </w:rPr>
        <w:t>2、</w:t>
      </w:r>
      <w:r>
        <w:rPr>
          <w:rFonts w:hint="eastAsia" w:ascii="Times New Roman" w:hAnsi="Times New Roman" w:eastAsia="宋体"/>
          <w:color w:val="auto"/>
          <w:kern w:val="0"/>
          <w:sz w:val="24"/>
          <w:highlight w:val="none"/>
          <w:u w:val="single"/>
        </w:rPr>
        <w:t>乙方承诺合同标的总金额不超过本合同约定，超过部分会与甲方另行签订补充协议。</w:t>
      </w:r>
    </w:p>
    <w:p w14:paraId="000A08E8">
      <w:pPr>
        <w:autoSpaceDE w:val="0"/>
        <w:autoSpaceDN w:val="0"/>
        <w:adjustRightInd w:val="0"/>
        <w:spacing w:line="360" w:lineRule="auto"/>
        <w:ind w:firstLine="480" w:firstLineChars="200"/>
        <w:contextualSpacing/>
        <w:jc w:val="left"/>
        <w:rPr>
          <w:color w:val="auto"/>
          <w:kern w:val="0"/>
          <w:sz w:val="24"/>
          <w:highlight w:val="none"/>
          <w:u w:val="single"/>
        </w:rPr>
      </w:pPr>
      <w:r>
        <w:rPr>
          <w:rFonts w:hint="eastAsia"/>
          <w:color w:val="auto"/>
          <w:kern w:val="0"/>
          <w:sz w:val="24"/>
          <w:highlight w:val="none"/>
          <w:u w:val="single"/>
        </w:rPr>
        <w:t>3、乙方已知晓合同标的货款总金额的变更应取得甲方公司同意并加盖甲方公司印章，甲方项目部或职员同意的均无效且不构成职务行为与表见代理。</w:t>
      </w:r>
    </w:p>
    <w:p w14:paraId="57CFD204">
      <w:pPr>
        <w:autoSpaceDE w:val="0"/>
        <w:autoSpaceDN w:val="0"/>
        <w:adjustRightInd w:val="0"/>
        <w:spacing w:line="360" w:lineRule="auto"/>
        <w:ind w:firstLine="480" w:firstLineChars="200"/>
        <w:contextualSpacing/>
        <w:jc w:val="left"/>
        <w:rPr>
          <w:color w:val="auto"/>
          <w:sz w:val="24"/>
          <w:highlight w:val="none"/>
          <w:u w:val="single"/>
        </w:rPr>
      </w:pPr>
      <w:r>
        <w:rPr>
          <w:rFonts w:hint="eastAsia"/>
          <w:color w:val="auto"/>
          <w:kern w:val="0"/>
          <w:sz w:val="24"/>
          <w:highlight w:val="none"/>
          <w:u w:val="single"/>
        </w:rPr>
        <w:t>4、如存在无甲方公司印章的变更，合同标的货款总金额少于本合同约定的，乙方承诺向甲方退还；合同标的货款总金额多于本合同约定的，乙方承诺放弃该部分债权，不再以任何方式向甲方追索或向第三人转让该部分债权。</w:t>
      </w:r>
      <w:r>
        <w:rPr>
          <w:rFonts w:hint="eastAsia"/>
          <w:color w:val="auto"/>
          <w:sz w:val="24"/>
          <w:highlight w:val="none"/>
          <w:u w:val="single"/>
        </w:rPr>
        <w:t xml:space="preserve"> </w:t>
      </w:r>
    </w:p>
    <w:p w14:paraId="10D45140">
      <w:pPr>
        <w:autoSpaceDE w:val="0"/>
        <w:autoSpaceDN w:val="0"/>
        <w:adjustRightInd w:val="0"/>
        <w:spacing w:line="360" w:lineRule="auto"/>
        <w:ind w:firstLine="480" w:firstLineChars="200"/>
        <w:contextualSpacing/>
        <w:jc w:val="left"/>
        <w:rPr>
          <w:color w:val="auto"/>
          <w:kern w:val="0"/>
          <w:sz w:val="24"/>
          <w:highlight w:val="none"/>
          <w:u w:val="single"/>
        </w:rPr>
      </w:pPr>
      <w:r>
        <w:rPr>
          <w:rFonts w:hint="eastAsia"/>
          <w:color w:val="auto"/>
          <w:kern w:val="0"/>
          <w:sz w:val="24"/>
          <w:highlight w:val="none"/>
          <w:u w:val="single"/>
        </w:rPr>
        <w:t>5、本合同所称损失，除另有规定外，均包括但不限于律师费、诉讼/仲裁费、鉴定费、公证费、向第三方支付的罚金、赔偿金、违约金等一切费用。</w:t>
      </w:r>
    </w:p>
    <w:p w14:paraId="493AC6F6">
      <w:pPr>
        <w:autoSpaceDE w:val="0"/>
        <w:autoSpaceDN w:val="0"/>
        <w:adjustRightInd w:val="0"/>
        <w:spacing w:line="360" w:lineRule="auto"/>
        <w:ind w:firstLine="482" w:firstLineChars="200"/>
        <w:contextualSpacing/>
        <w:jc w:val="left"/>
        <w:rPr>
          <w:b/>
          <w:color w:val="auto"/>
          <w:kern w:val="0"/>
          <w:sz w:val="24"/>
          <w:highlight w:val="none"/>
        </w:rPr>
      </w:pPr>
      <w:r>
        <w:rPr>
          <w:b/>
          <w:color w:val="auto"/>
          <w:kern w:val="0"/>
          <w:sz w:val="24"/>
          <w:highlight w:val="none"/>
        </w:rPr>
        <w:t>十</w:t>
      </w:r>
      <w:r>
        <w:rPr>
          <w:rFonts w:hint="eastAsia"/>
          <w:b/>
          <w:color w:val="auto"/>
          <w:kern w:val="0"/>
          <w:sz w:val="24"/>
          <w:highlight w:val="none"/>
        </w:rPr>
        <w:t>五</w:t>
      </w:r>
      <w:r>
        <w:rPr>
          <w:b/>
          <w:color w:val="auto"/>
          <w:kern w:val="0"/>
          <w:sz w:val="24"/>
          <w:highlight w:val="none"/>
        </w:rPr>
        <w:t>、附则</w:t>
      </w:r>
    </w:p>
    <w:p w14:paraId="0805ADB0">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1、本合同自双方签字并盖章后生效。</w:t>
      </w:r>
    </w:p>
    <w:p w14:paraId="43CEE15A">
      <w:pPr>
        <w:autoSpaceDE w:val="0"/>
        <w:autoSpaceDN w:val="0"/>
        <w:adjustRightInd w:val="0"/>
        <w:spacing w:line="360" w:lineRule="auto"/>
        <w:ind w:firstLine="480" w:firstLineChars="200"/>
        <w:contextualSpacing/>
        <w:jc w:val="left"/>
        <w:rPr>
          <w:color w:val="auto"/>
          <w:kern w:val="0"/>
          <w:sz w:val="24"/>
          <w:highlight w:val="none"/>
        </w:rPr>
      </w:pPr>
      <w:r>
        <w:rPr>
          <w:color w:val="auto"/>
          <w:kern w:val="0"/>
          <w:sz w:val="24"/>
          <w:highlight w:val="none"/>
        </w:rPr>
        <w:t>2、本合同一式</w:t>
      </w:r>
      <w:r>
        <w:rPr>
          <w:rFonts w:hint="eastAsia"/>
          <w:color w:val="auto"/>
          <w:kern w:val="0"/>
          <w:sz w:val="24"/>
          <w:highlight w:val="none"/>
          <w:u w:val="single"/>
        </w:rPr>
        <w:t>陆</w:t>
      </w:r>
      <w:r>
        <w:rPr>
          <w:color w:val="auto"/>
          <w:kern w:val="0"/>
          <w:sz w:val="24"/>
          <w:highlight w:val="none"/>
        </w:rPr>
        <w:t>份，甲方执</w:t>
      </w:r>
      <w:r>
        <w:rPr>
          <w:rFonts w:hint="eastAsia"/>
          <w:color w:val="auto"/>
          <w:kern w:val="0"/>
          <w:sz w:val="24"/>
          <w:highlight w:val="none"/>
          <w:u w:val="single"/>
        </w:rPr>
        <w:t>肆</w:t>
      </w:r>
      <w:r>
        <w:rPr>
          <w:color w:val="auto"/>
          <w:kern w:val="0"/>
          <w:sz w:val="24"/>
          <w:highlight w:val="none"/>
        </w:rPr>
        <w:t>份，乙方执</w:t>
      </w:r>
      <w:r>
        <w:rPr>
          <w:rFonts w:hint="eastAsia"/>
          <w:color w:val="auto"/>
          <w:kern w:val="0"/>
          <w:sz w:val="24"/>
          <w:highlight w:val="none"/>
          <w:u w:val="single"/>
        </w:rPr>
        <w:t>贰</w:t>
      </w:r>
      <w:r>
        <w:rPr>
          <w:color w:val="auto"/>
          <w:kern w:val="0"/>
          <w:sz w:val="24"/>
          <w:highlight w:val="none"/>
        </w:rPr>
        <w:t>份。</w:t>
      </w:r>
    </w:p>
    <w:p w14:paraId="53F6B9CB">
      <w:pPr>
        <w:autoSpaceDE w:val="0"/>
        <w:autoSpaceDN w:val="0"/>
        <w:adjustRightInd w:val="0"/>
        <w:spacing w:line="360" w:lineRule="auto"/>
        <w:contextualSpacing/>
        <w:jc w:val="left"/>
        <w:rPr>
          <w:color w:val="auto"/>
          <w:kern w:val="0"/>
          <w:sz w:val="24"/>
          <w:highlight w:val="none"/>
        </w:rPr>
      </w:pPr>
      <w:r>
        <w:rPr>
          <w:rFonts w:hint="eastAsia"/>
          <w:color w:val="auto"/>
          <w:kern w:val="0"/>
          <w:sz w:val="24"/>
          <w:highlight w:val="none"/>
        </w:rPr>
        <w:t>（以下无正文）</w:t>
      </w:r>
    </w:p>
    <w:p w14:paraId="4E9937D4">
      <w:pPr>
        <w:autoSpaceDE w:val="0"/>
        <w:autoSpaceDN w:val="0"/>
        <w:adjustRightInd w:val="0"/>
        <w:spacing w:line="360" w:lineRule="auto"/>
        <w:ind w:firstLine="480" w:firstLineChars="200"/>
        <w:contextualSpacing/>
        <w:jc w:val="left"/>
        <w:rPr>
          <w:color w:val="auto"/>
          <w:kern w:val="0"/>
          <w:sz w:val="24"/>
          <w:highlight w:val="none"/>
        </w:rPr>
      </w:pPr>
    </w:p>
    <w:p w14:paraId="4B326BCB">
      <w:pPr>
        <w:autoSpaceDE w:val="0"/>
        <w:autoSpaceDN w:val="0"/>
        <w:adjustRightInd w:val="0"/>
        <w:spacing w:line="360" w:lineRule="auto"/>
        <w:contextualSpacing/>
        <w:jc w:val="left"/>
        <w:rPr>
          <w:color w:val="auto"/>
          <w:kern w:val="0"/>
          <w:sz w:val="24"/>
          <w:highlight w:val="none"/>
        </w:rPr>
      </w:pPr>
      <w:r>
        <w:rPr>
          <w:color w:val="auto"/>
          <w:kern w:val="0"/>
          <w:sz w:val="24"/>
          <w:highlight w:val="none"/>
        </w:rPr>
        <w:t>甲方（盖章）：                      乙方（盖章）：</w:t>
      </w:r>
    </w:p>
    <w:p w14:paraId="5B33B54B">
      <w:pPr>
        <w:autoSpaceDE w:val="0"/>
        <w:autoSpaceDN w:val="0"/>
        <w:adjustRightInd w:val="0"/>
        <w:spacing w:line="360" w:lineRule="auto"/>
        <w:contextualSpacing/>
        <w:jc w:val="left"/>
        <w:rPr>
          <w:color w:val="auto"/>
          <w:kern w:val="0"/>
          <w:sz w:val="24"/>
          <w:highlight w:val="none"/>
        </w:rPr>
      </w:pPr>
      <w:r>
        <w:rPr>
          <w:color w:val="auto"/>
          <w:kern w:val="0"/>
          <w:sz w:val="24"/>
          <w:highlight w:val="none"/>
        </w:rPr>
        <w:t>法定代表人：                        法定代表人：</w:t>
      </w:r>
    </w:p>
    <w:p w14:paraId="46D3EA4A">
      <w:pPr>
        <w:autoSpaceDE w:val="0"/>
        <w:autoSpaceDN w:val="0"/>
        <w:adjustRightInd w:val="0"/>
        <w:spacing w:line="360" w:lineRule="auto"/>
        <w:contextualSpacing/>
        <w:jc w:val="left"/>
        <w:rPr>
          <w:color w:val="auto"/>
          <w:kern w:val="0"/>
          <w:sz w:val="24"/>
          <w:highlight w:val="none"/>
        </w:rPr>
      </w:pPr>
      <w:r>
        <w:rPr>
          <w:color w:val="auto"/>
          <w:kern w:val="0"/>
          <w:sz w:val="24"/>
          <w:highlight w:val="none"/>
        </w:rPr>
        <w:t xml:space="preserve">委托代理人：       　　　           委托代理人： </w:t>
      </w:r>
    </w:p>
    <w:p w14:paraId="0624A0C2">
      <w:pPr>
        <w:autoSpaceDE w:val="0"/>
        <w:autoSpaceDN w:val="0"/>
        <w:adjustRightInd w:val="0"/>
        <w:spacing w:line="360" w:lineRule="auto"/>
        <w:contextualSpacing/>
        <w:jc w:val="left"/>
        <w:rPr>
          <w:color w:val="auto"/>
          <w:kern w:val="0"/>
          <w:sz w:val="24"/>
          <w:highlight w:val="none"/>
        </w:rPr>
      </w:pPr>
      <w:r>
        <w:rPr>
          <w:color w:val="auto"/>
          <w:kern w:val="0"/>
          <w:sz w:val="24"/>
          <w:highlight w:val="none"/>
        </w:rPr>
        <w:t>开户银行：                          开户银行：</w:t>
      </w:r>
    </w:p>
    <w:p w14:paraId="7685AEBE">
      <w:pPr>
        <w:autoSpaceDE w:val="0"/>
        <w:autoSpaceDN w:val="0"/>
        <w:adjustRightInd w:val="0"/>
        <w:spacing w:line="360" w:lineRule="auto"/>
        <w:contextualSpacing/>
        <w:jc w:val="left"/>
        <w:rPr>
          <w:color w:val="auto"/>
          <w:kern w:val="0"/>
          <w:sz w:val="24"/>
          <w:highlight w:val="none"/>
        </w:rPr>
      </w:pPr>
      <w:r>
        <w:rPr>
          <w:color w:val="auto"/>
          <w:kern w:val="0"/>
          <w:sz w:val="24"/>
          <w:highlight w:val="none"/>
        </w:rPr>
        <w:t>账号：                              账号：</w:t>
      </w:r>
    </w:p>
    <w:p w14:paraId="27F8030C">
      <w:pPr>
        <w:autoSpaceDE w:val="0"/>
        <w:autoSpaceDN w:val="0"/>
        <w:adjustRightInd w:val="0"/>
        <w:spacing w:line="360" w:lineRule="auto"/>
        <w:ind w:firstLine="360" w:firstLineChars="150"/>
        <w:contextualSpacing/>
        <w:jc w:val="left"/>
        <w:rPr>
          <w:color w:val="auto"/>
          <w:kern w:val="0"/>
          <w:sz w:val="24"/>
          <w:highlight w:val="none"/>
        </w:rPr>
      </w:pPr>
      <w:r>
        <w:rPr>
          <w:color w:val="auto"/>
          <w:kern w:val="0"/>
          <w:sz w:val="24"/>
          <w:highlight w:val="none"/>
        </w:rPr>
        <w:t>日期</w:t>
      </w:r>
      <w:r>
        <w:rPr>
          <w:rFonts w:hint="eastAsia"/>
          <w:color w:val="auto"/>
          <w:kern w:val="0"/>
          <w:sz w:val="24"/>
          <w:highlight w:val="none"/>
        </w:rPr>
        <w:t>：                              日期：</w:t>
      </w:r>
      <w:r>
        <w:rPr>
          <w:color w:val="auto"/>
          <w:kern w:val="0"/>
          <w:sz w:val="24"/>
          <w:highlight w:val="none"/>
        </w:rPr>
        <w:br w:type="page"/>
      </w:r>
      <w:r>
        <w:rPr>
          <w:color w:val="auto"/>
          <w:kern w:val="0"/>
          <w:sz w:val="24"/>
          <w:highlight w:val="none"/>
        </w:rPr>
        <w:t>附件1：</w:t>
      </w:r>
    </w:p>
    <w:p w14:paraId="7ADCB14A">
      <w:pPr>
        <w:autoSpaceDE w:val="0"/>
        <w:autoSpaceDN w:val="0"/>
        <w:adjustRightInd w:val="0"/>
        <w:spacing w:line="360" w:lineRule="auto"/>
        <w:ind w:firstLine="498" w:firstLineChars="177"/>
        <w:contextualSpacing/>
        <w:jc w:val="center"/>
        <w:rPr>
          <w:rFonts w:ascii="Times New Roman" w:hAnsi="Times New Roman" w:eastAsia="宋体" w:cs="Times New Roman"/>
          <w:b/>
          <w:color w:val="auto"/>
          <w:kern w:val="0"/>
          <w:sz w:val="28"/>
          <w:szCs w:val="28"/>
          <w:highlight w:val="none"/>
        </w:rPr>
      </w:pPr>
      <w:r>
        <w:rPr>
          <w:rFonts w:ascii="Times New Roman" w:hAnsi="Times New Roman" w:eastAsia="宋体" w:cs="Times New Roman"/>
          <w:b/>
          <w:color w:val="auto"/>
          <w:kern w:val="0"/>
          <w:sz w:val="28"/>
          <w:szCs w:val="28"/>
          <w:highlight w:val="none"/>
        </w:rPr>
        <w:t>结</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算</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承 诺 声</w:t>
      </w:r>
      <w:r>
        <w:rPr>
          <w:rFonts w:hint="eastAsia" w:ascii="Times New Roman" w:hAnsi="Times New Roman" w:eastAsia="宋体" w:cs="Times New Roman"/>
          <w:b/>
          <w:color w:val="auto"/>
          <w:kern w:val="0"/>
          <w:sz w:val="28"/>
          <w:szCs w:val="28"/>
          <w:highlight w:val="none"/>
        </w:rPr>
        <w:t xml:space="preserve"> </w:t>
      </w:r>
      <w:r>
        <w:rPr>
          <w:rFonts w:ascii="Times New Roman" w:hAnsi="Times New Roman" w:eastAsia="宋体" w:cs="Times New Roman"/>
          <w:b/>
          <w:color w:val="auto"/>
          <w:kern w:val="0"/>
          <w:sz w:val="28"/>
          <w:szCs w:val="28"/>
          <w:highlight w:val="none"/>
        </w:rPr>
        <w:t>明</w:t>
      </w:r>
    </w:p>
    <w:p w14:paraId="5C1489AE">
      <w:pPr>
        <w:autoSpaceDE w:val="0"/>
        <w:autoSpaceDN w:val="0"/>
        <w:adjustRightInd w:val="0"/>
        <w:spacing w:line="360" w:lineRule="auto"/>
        <w:contextualSpacing/>
        <w:jc w:val="left"/>
        <w:rPr>
          <w:rFonts w:ascii="Times New Roman" w:hAnsi="Times New Roman" w:eastAsia="宋体" w:cs="Times New Roman"/>
          <w:color w:val="auto"/>
          <w:kern w:val="0"/>
          <w:sz w:val="24"/>
          <w:highlight w:val="none"/>
        </w:rPr>
      </w:pPr>
      <w:r>
        <w:rPr>
          <w:rFonts w:ascii="Times New Roman" w:hAnsi="Times New Roman" w:eastAsia="宋体" w:cs="Times New Roman"/>
          <w:color w:val="auto"/>
          <w:kern w:val="0"/>
          <w:sz w:val="24"/>
          <w:highlight w:val="none"/>
        </w:rPr>
        <w:t>致：</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ascii="Times New Roman" w:hAnsi="Times New Roman" w:eastAsia="宋体" w:cs="Times New Roman"/>
          <w:color w:val="auto"/>
          <w:kern w:val="0"/>
          <w:sz w:val="24"/>
          <w:highlight w:val="none"/>
        </w:rPr>
        <w:t>：</w:t>
      </w:r>
    </w:p>
    <w:p w14:paraId="683216AB">
      <w:pPr>
        <w:autoSpaceDE w:val="0"/>
        <w:autoSpaceDN w:val="0"/>
        <w:adjustRightInd w:val="0"/>
        <w:spacing w:line="360" w:lineRule="auto"/>
        <w:ind w:firstLine="424" w:firstLineChars="177"/>
        <w:contextualSpacing/>
        <w:jc w:val="left"/>
        <w:rPr>
          <w:rFonts w:ascii="仿宋" w:hAnsi="仿宋" w:eastAsia="仿宋" w:cs="Times New Roman"/>
          <w:color w:val="auto"/>
          <w:sz w:val="30"/>
          <w:szCs w:val="30"/>
          <w:highlight w:val="none"/>
        </w:rPr>
      </w:pPr>
      <w:r>
        <w:rPr>
          <w:rFonts w:hint="eastAsia" w:ascii="Times New Roman" w:hAnsi="Times New Roman" w:eastAsia="宋体" w:cs="Times New Roman"/>
          <w:color w:val="auto"/>
          <w:kern w:val="0"/>
          <w:sz w:val="24"/>
          <w:highlight w:val="none"/>
          <w:u w:val="single"/>
        </w:rPr>
        <w:t>（乙方单位名称）</w:t>
      </w:r>
      <w:r>
        <w:rPr>
          <w:rFonts w:ascii="Times New Roman" w:hAnsi="Times New Roman" w:eastAsia="宋体" w:cs="Times New Roman"/>
          <w:color w:val="auto"/>
          <w:kern w:val="0"/>
          <w:sz w:val="24"/>
          <w:highlight w:val="none"/>
        </w:rPr>
        <w:t>于</w:t>
      </w:r>
      <w:r>
        <w:rPr>
          <w:rFonts w:hint="eastAsia" w:ascii="Times New Roman" w:hAnsi="Times New Roman" w:eastAsia="宋体" w:cs="Times New Roman"/>
          <w:color w:val="auto"/>
          <w:kern w:val="0"/>
          <w:sz w:val="24"/>
          <w:highlight w:val="none"/>
          <w:u w:val="single"/>
        </w:rPr>
        <w:t xml:space="preserve">20xx </w:t>
      </w:r>
      <w:r>
        <w:rPr>
          <w:rFonts w:ascii="Times New Roman" w:hAnsi="Times New Roman" w:eastAsia="宋体" w:cs="Times New Roman"/>
          <w:color w:val="auto"/>
          <w:kern w:val="0"/>
          <w:sz w:val="24"/>
          <w:highlight w:val="none"/>
          <w:u w:val="single"/>
        </w:rPr>
        <w:t>年</w:t>
      </w:r>
      <w:r>
        <w:rPr>
          <w:rFonts w:hint="eastAsia" w:ascii="Times New Roman" w:hAnsi="Times New Roman" w:eastAsia="宋体" w:cs="Times New Roman"/>
          <w:color w:val="auto"/>
          <w:kern w:val="0"/>
          <w:sz w:val="24"/>
          <w:highlight w:val="none"/>
          <w:u w:val="single"/>
        </w:rPr>
        <w:t xml:space="preserve">xx </w:t>
      </w:r>
      <w:r>
        <w:rPr>
          <w:rFonts w:ascii="Times New Roman" w:hAnsi="Times New Roman" w:eastAsia="宋体" w:cs="Times New Roman"/>
          <w:color w:val="auto"/>
          <w:kern w:val="0"/>
          <w:sz w:val="24"/>
          <w:highlight w:val="none"/>
          <w:u w:val="single"/>
        </w:rPr>
        <w:t>月</w:t>
      </w:r>
      <w:r>
        <w:rPr>
          <w:rFonts w:hint="eastAsia" w:ascii="Times New Roman" w:hAnsi="Times New Roman" w:eastAsia="宋体" w:cs="Times New Roman"/>
          <w:color w:val="auto"/>
          <w:kern w:val="0"/>
          <w:sz w:val="24"/>
          <w:highlight w:val="none"/>
          <w:u w:val="single"/>
        </w:rPr>
        <w:t xml:space="preserve">xx </w:t>
      </w:r>
      <w:r>
        <w:rPr>
          <w:rFonts w:ascii="Times New Roman" w:hAnsi="Times New Roman" w:eastAsia="宋体" w:cs="Times New Roman"/>
          <w:color w:val="auto"/>
          <w:kern w:val="0"/>
          <w:sz w:val="24"/>
          <w:highlight w:val="none"/>
          <w:u w:val="single"/>
        </w:rPr>
        <w:t>日</w:t>
      </w:r>
      <w:r>
        <w:rPr>
          <w:rFonts w:ascii="Times New Roman" w:hAnsi="Times New Roman" w:eastAsia="宋体" w:cs="Times New Roman"/>
          <w:color w:val="auto"/>
          <w:kern w:val="0"/>
          <w:sz w:val="24"/>
          <w:highlight w:val="none"/>
        </w:rPr>
        <w:t>与贵司签订了</w:t>
      </w:r>
      <w:r>
        <w:rPr>
          <w:rFonts w:hint="eastAsia" w:ascii="Times New Roman" w:hAnsi="Times New Roman" w:eastAsia="宋体" w:cs="Times New Roman"/>
          <w:color w:val="auto"/>
          <w:kern w:val="0"/>
          <w:sz w:val="24"/>
          <w:highlight w:val="none"/>
          <w:u w:val="single"/>
        </w:rPr>
        <w:t>xxxxxxx</w:t>
      </w:r>
      <w:r>
        <w:rPr>
          <w:rFonts w:ascii="Times New Roman" w:hAnsi="Times New Roman" w:eastAsia="宋体" w:cs="Times New Roman"/>
          <w:color w:val="auto"/>
          <w:kern w:val="0"/>
          <w:sz w:val="24"/>
          <w:highlight w:val="none"/>
        </w:rPr>
        <w:t>工程的</w:t>
      </w:r>
      <w:r>
        <w:rPr>
          <w:rFonts w:hint="eastAsia" w:ascii="Times New Roman" w:hAnsi="Times New Roman" w:eastAsia="宋体" w:cs="Times New Roman"/>
          <w:color w:val="auto"/>
          <w:kern w:val="0"/>
          <w:sz w:val="24"/>
          <w:highlight w:val="none"/>
          <w:u w:val="single"/>
        </w:rPr>
        <w:t>xxxxx</w:t>
      </w:r>
      <w:r>
        <w:rPr>
          <w:rFonts w:ascii="Times New Roman" w:hAnsi="Times New Roman" w:eastAsia="宋体" w:cs="Times New Roman"/>
          <w:color w:val="auto"/>
          <w:kern w:val="0"/>
          <w:sz w:val="24"/>
          <w:highlight w:val="none"/>
        </w:rPr>
        <w:t>工作内容的合同。</w:t>
      </w:r>
      <w:r>
        <w:rPr>
          <w:rFonts w:hint="eastAsia" w:ascii="Times New Roman" w:hAnsi="Times New Roman" w:eastAsia="宋体" w:cs="Times New Roman"/>
          <w:color w:val="auto"/>
          <w:kern w:val="0"/>
          <w:sz w:val="24"/>
          <w:highlight w:val="none"/>
        </w:rPr>
        <w:t>今</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就所完成工程额进行核对，核对结果为：最终工程款为</w:t>
      </w:r>
      <w:r>
        <w:rPr>
          <w:rFonts w:hint="default" w:ascii="Arial" w:hAnsi="Arial" w:eastAsia="宋体" w:cs="Arial"/>
          <w:color w:val="auto"/>
          <w:kern w:val="0"/>
          <w:sz w:val="24"/>
          <w:highlight w:val="none"/>
          <w:u w:val="single"/>
        </w:rPr>
        <w:t>¥</w:t>
      </w:r>
      <w:r>
        <w:rPr>
          <w:rFonts w:hint="eastAsia" w:ascii="Times New Roman" w:hAnsi="Times New Roman" w:eastAsia="宋体" w:cs="Times New Roman"/>
          <w:color w:val="auto"/>
          <w:kern w:val="0"/>
          <w:sz w:val="24"/>
          <w:highlight w:val="none"/>
          <w:u w:val="single"/>
        </w:rPr>
        <w:t xml:space="preserve"> XXXXX  (大写：XXXX )</w:t>
      </w:r>
      <w:r>
        <w:rPr>
          <w:rFonts w:hint="eastAsia" w:ascii="Times New Roman" w:hAnsi="Times New Roman" w:eastAsia="宋体" w:cs="Times New Roman"/>
          <w:color w:val="auto"/>
          <w:kern w:val="0"/>
          <w:sz w:val="24"/>
          <w:highlight w:val="none"/>
        </w:rPr>
        <w:t>。</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保证所提供的用于核对工程款的资料真实有效。</w:t>
      </w:r>
    </w:p>
    <w:p w14:paraId="5AFCF111">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一旦本次结算按上述数额结算完成，</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在该工程项目上的工程款及其他所有款项与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全部结清，若今后由于</w:t>
      </w:r>
      <w:r>
        <w:rPr>
          <w:rFonts w:hint="eastAsia" w:ascii="Times New Roman" w:hAnsi="Times New Roman" w:eastAsia="宋体" w:cs="Times New Roman"/>
          <w:color w:val="auto"/>
          <w:kern w:val="0"/>
          <w:sz w:val="24"/>
          <w:highlight w:val="none"/>
          <w:u w:val="single"/>
        </w:rPr>
        <w:t xml:space="preserve"> （乙方单位名称） </w:t>
      </w:r>
      <w:r>
        <w:rPr>
          <w:rFonts w:hint="eastAsia" w:ascii="Times New Roman" w:hAnsi="Times New Roman" w:eastAsia="宋体" w:cs="Times New Roman"/>
          <w:color w:val="auto"/>
          <w:kern w:val="0"/>
          <w:sz w:val="24"/>
          <w:highlight w:val="none"/>
        </w:rPr>
        <w:t>引起的第三方向</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索偿的，由</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自行解决，与</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无关。若需以</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Times New Roman" w:hAnsi="Times New Roman" w:eastAsia="宋体" w:cs="Times New Roman"/>
          <w:color w:val="auto"/>
          <w:kern w:val="0"/>
          <w:sz w:val="24"/>
          <w:highlight w:val="none"/>
        </w:rPr>
        <w:t>出具的，则产生的所有费用（包括但不限于支付至第三方的款项、罚款、违约金、赔偿金、诉讼/仲裁费、律师费、鉴定费等）由</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支付。若</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提供的资料有虚假或隐瞒的，或款项未全部用于本工程的，则此部分不再结算，已付款项返回，且</w:t>
      </w:r>
      <w:r>
        <w:rPr>
          <w:rFonts w:hint="eastAsia" w:ascii="Times New Roman" w:hAnsi="Times New Roman" w:eastAsia="宋体" w:cs="Times New Roman"/>
          <w:color w:val="auto"/>
          <w:kern w:val="0"/>
          <w:sz w:val="24"/>
          <w:highlight w:val="none"/>
          <w:u w:val="single"/>
        </w:rPr>
        <w:t>（乙方单位名称）</w:t>
      </w:r>
      <w:r>
        <w:rPr>
          <w:rFonts w:hint="eastAsia" w:ascii="Times New Roman" w:hAnsi="Times New Roman" w:eastAsia="宋体" w:cs="Times New Roman"/>
          <w:color w:val="auto"/>
          <w:kern w:val="0"/>
          <w:sz w:val="24"/>
          <w:highlight w:val="none"/>
        </w:rPr>
        <w:t>需支付总计金额30%的违约金。</w:t>
      </w:r>
    </w:p>
    <w:p w14:paraId="309A8672">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 xml:space="preserve">若因虚假发票（包括但不限于虚开增值税发票，开具伪造、变造的增值税发票）等问题引起税务纠纷，（乙方单位名称）承诺及时组织相关人员追查处理，并及时采取补救措施。无论工程是否完工，合同是否终止，一旦被相关机构查实，具体责任由（乙方单位名称）承担，造成公司损失的，包括但不限于罚金、违约金、名誉商誉损失、律师费、诉讼费等一切费用均由（乙方单位名称）承担，此外（乙方单位名称）承担本合同总价的 </w:t>
      </w:r>
      <w:r>
        <w:rPr>
          <w:rFonts w:hint="eastAsia" w:ascii="Times New Roman" w:hAnsi="Times New Roman" w:eastAsia="宋体" w:cs="Times New Roman"/>
          <w:color w:val="auto"/>
          <w:kern w:val="0"/>
          <w:sz w:val="24"/>
          <w:highlight w:val="none"/>
          <w:u w:val="single"/>
        </w:rPr>
        <w:t xml:space="preserve"> 5 </w:t>
      </w:r>
      <w:r>
        <w:rPr>
          <w:rFonts w:hint="eastAsia" w:ascii="Times New Roman" w:hAnsi="Times New Roman" w:eastAsia="宋体" w:cs="Times New Roman"/>
          <w:color w:val="auto"/>
          <w:kern w:val="0"/>
          <w:sz w:val="24"/>
          <w:highlight w:val="none"/>
        </w:rPr>
        <w:t xml:space="preserve"> %的违约金。（乙方单位名称）确保开票真实合法义务不以合同终止而终止。特此保证和签收。</w:t>
      </w:r>
    </w:p>
    <w:p w14:paraId="2CBCD17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姓名（或乙方名称）：（签字并按手印或单位公章）</w:t>
      </w:r>
    </w:p>
    <w:p w14:paraId="1F9D12B1">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地址：</w:t>
      </w:r>
    </w:p>
    <w:p w14:paraId="49AEF120">
      <w:pPr>
        <w:autoSpaceDE w:val="0"/>
        <w:autoSpaceDN w:val="0"/>
        <w:adjustRightInd w:val="0"/>
        <w:spacing w:line="360" w:lineRule="auto"/>
        <w:ind w:firstLine="424" w:firstLineChars="177"/>
        <w:contextualSpacing/>
        <w:jc w:val="left"/>
        <w:rPr>
          <w:rFonts w:hint="eastAsia"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rPr>
        <w:t>联系电话：</w:t>
      </w:r>
    </w:p>
    <w:p w14:paraId="366187B3">
      <w:pPr>
        <w:autoSpaceDE w:val="0"/>
        <w:autoSpaceDN w:val="0"/>
        <w:adjustRightInd w:val="0"/>
        <w:spacing w:line="360" w:lineRule="auto"/>
        <w:ind w:firstLine="424" w:firstLineChars="177"/>
        <w:contextualSpacing/>
        <w:jc w:val="left"/>
        <w:rPr>
          <w:rFonts w:hint="default" w:ascii="Times New Roman" w:hAnsi="Times New Roman" w:eastAsia="宋体" w:cs="Times New Roman"/>
          <w:color w:val="auto"/>
          <w:kern w:val="0"/>
          <w:sz w:val="24"/>
          <w:highlight w:val="none"/>
          <w:lang w:val="en-US" w:eastAsia="zh-CN"/>
        </w:rPr>
      </w:pPr>
      <w:r>
        <w:rPr>
          <w:rFonts w:hint="eastAsia" w:ascii="Times New Roman" w:hAnsi="Times New Roman" w:eastAsia="宋体" w:cs="Times New Roman"/>
          <w:color w:val="auto"/>
          <w:kern w:val="0"/>
          <w:sz w:val="24"/>
          <w:highlight w:val="none"/>
        </w:rPr>
        <w:t>日期：</w:t>
      </w:r>
      <w:r>
        <w:rPr>
          <w:rFonts w:hint="eastAsia" w:ascii="Times New Roman" w:hAnsi="Times New Roman" w:eastAsia="宋体" w:cs="Times New Roman"/>
          <w:color w:val="auto"/>
          <w:kern w:val="0"/>
          <w:sz w:val="24"/>
          <w:highlight w:val="none"/>
          <w:lang w:val="en-US" w:eastAsia="zh-CN"/>
        </w:rPr>
        <w:t>2026年  月   日</w:t>
      </w:r>
    </w:p>
    <w:p w14:paraId="3D124487">
      <w:pPr>
        <w:widowControl/>
        <w:jc w:val="left"/>
        <w:rPr>
          <w:rFonts w:ascii="宋体" w:hAnsi="宋体"/>
          <w:color w:val="auto"/>
          <w:sz w:val="24"/>
          <w:highlight w:val="none"/>
        </w:rPr>
      </w:pPr>
    </w:p>
    <w:p w14:paraId="7BE80D74">
      <w:pPr>
        <w:rPr>
          <w:color w:val="auto"/>
          <w:kern w:val="0"/>
          <w:sz w:val="24"/>
          <w:highlight w:val="none"/>
        </w:rPr>
      </w:pPr>
      <w:r>
        <w:rPr>
          <w:color w:val="auto"/>
          <w:kern w:val="0"/>
          <w:sz w:val="24"/>
          <w:highlight w:val="none"/>
        </w:rPr>
        <w:t>附件</w:t>
      </w:r>
      <w:r>
        <w:rPr>
          <w:rFonts w:hint="eastAsia"/>
          <w:color w:val="auto"/>
          <w:kern w:val="0"/>
          <w:sz w:val="24"/>
          <w:highlight w:val="none"/>
        </w:rPr>
        <w:t>2</w:t>
      </w:r>
      <w:r>
        <w:rPr>
          <w:color w:val="auto"/>
          <w:kern w:val="0"/>
          <w:sz w:val="24"/>
          <w:highlight w:val="none"/>
        </w:rPr>
        <w:t>：</w:t>
      </w:r>
    </w:p>
    <w:p w14:paraId="6B2981A3">
      <w:pPr>
        <w:spacing w:line="380" w:lineRule="exact"/>
        <w:jc w:val="center"/>
        <w:outlineLvl w:val="0"/>
        <w:rPr>
          <w:rFonts w:ascii="宋体" w:hAnsi="宋体" w:cs="华文中宋"/>
          <w:color w:val="auto"/>
          <w:sz w:val="24"/>
          <w:highlight w:val="none"/>
        </w:rPr>
      </w:pPr>
      <w:bookmarkStart w:id="194" w:name="_Toc14254"/>
      <w:bookmarkStart w:id="195" w:name="_Toc27339"/>
      <w:bookmarkStart w:id="196" w:name="_Toc20800"/>
      <w:r>
        <w:rPr>
          <w:rFonts w:hint="eastAsia" w:ascii="宋体" w:hAnsi="宋体" w:cs="华文中宋"/>
          <w:color w:val="auto"/>
          <w:sz w:val="24"/>
          <w:highlight w:val="none"/>
        </w:rPr>
        <w:t>浙江钱塘江水利建筑工程有限公司</w:t>
      </w:r>
      <w:bookmarkEnd w:id="194"/>
      <w:bookmarkEnd w:id="195"/>
      <w:bookmarkEnd w:id="196"/>
    </w:p>
    <w:p w14:paraId="1C2472E7">
      <w:pPr>
        <w:spacing w:line="380" w:lineRule="exact"/>
        <w:jc w:val="center"/>
        <w:outlineLvl w:val="0"/>
        <w:rPr>
          <w:rFonts w:ascii="宋体" w:hAnsi="宋体" w:cs="华文中宋"/>
          <w:b/>
          <w:color w:val="auto"/>
          <w:sz w:val="24"/>
          <w:highlight w:val="none"/>
        </w:rPr>
      </w:pPr>
      <w:bookmarkStart w:id="197" w:name="_Toc26499"/>
      <w:bookmarkStart w:id="198" w:name="_Toc17520"/>
      <w:bookmarkStart w:id="199" w:name="_Toc8811"/>
      <w:r>
        <w:rPr>
          <w:rFonts w:hint="eastAsia" w:ascii="宋体" w:hAnsi="宋体" w:cs="华文中宋"/>
          <w:b/>
          <w:color w:val="auto"/>
          <w:sz w:val="24"/>
          <w:highlight w:val="none"/>
        </w:rPr>
        <w:t>采购运输安全责任协议</w:t>
      </w:r>
      <w:bookmarkEnd w:id="197"/>
      <w:bookmarkEnd w:id="198"/>
      <w:bookmarkEnd w:id="199"/>
    </w:p>
    <w:p w14:paraId="729A90E0">
      <w:pPr>
        <w:pStyle w:val="17"/>
        <w:rPr>
          <w:color w:val="auto"/>
          <w:highlight w:val="none"/>
        </w:rPr>
      </w:pPr>
    </w:p>
    <w:p w14:paraId="36F9E0AB">
      <w:pPr>
        <w:spacing w:line="420" w:lineRule="exact"/>
        <w:ind w:firstLine="480" w:firstLineChars="200"/>
        <w:rPr>
          <w:rFonts w:hint="eastAsia" w:ascii="宋体" w:hAnsi="宋体"/>
          <w:color w:val="auto"/>
          <w:sz w:val="24"/>
          <w:highlight w:val="none"/>
          <w:u w:val="single"/>
          <w:lang w:val="en-US" w:eastAsia="zh-CN"/>
        </w:rPr>
      </w:pPr>
      <w:r>
        <w:rPr>
          <w:rFonts w:hint="eastAsia" w:ascii="宋体" w:hAnsi="宋体" w:cs="宋体"/>
          <w:bCs/>
          <w:color w:val="auto"/>
          <w:sz w:val="24"/>
          <w:highlight w:val="none"/>
        </w:rPr>
        <w:t>为贯彻落实国家有关安全生产、交通运输、环境保护、治安消防等法律法规，</w:t>
      </w:r>
      <w:r>
        <w:rPr>
          <w:rFonts w:hint="eastAsia" w:ascii="宋体" w:hAnsi="宋体" w:cs="宋体"/>
          <w:color w:val="auto"/>
          <w:sz w:val="24"/>
          <w:highlight w:val="none"/>
        </w:rPr>
        <w:t>落实安全责任制，强化安全生产管理，杜绝违章作业，确保</w:t>
      </w:r>
      <w:r>
        <w:rPr>
          <w:rFonts w:hint="eastAsia" w:ascii="宋体" w:hAnsi="宋体" w:cs="华文中宋"/>
          <w:color w:val="auto"/>
          <w:sz w:val="24"/>
          <w:highlight w:val="none"/>
        </w:rPr>
        <w:t>采购运输</w:t>
      </w:r>
      <w:r>
        <w:rPr>
          <w:rFonts w:hint="eastAsia" w:ascii="宋体" w:hAnsi="宋体" w:cs="宋体"/>
          <w:color w:val="auto"/>
          <w:sz w:val="24"/>
          <w:highlight w:val="none"/>
        </w:rPr>
        <w:t>安全有序进行。经双方协商，</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宋体" w:hAnsi="宋体" w:cs="宋体"/>
          <w:color w:val="auto"/>
          <w:sz w:val="24"/>
          <w:highlight w:val="none"/>
        </w:rPr>
        <w:t>（简称甲方）与</w:t>
      </w:r>
      <w:r>
        <w:rPr>
          <w:rFonts w:hint="eastAsia" w:ascii="宋体" w:hAnsi="宋体" w:cs="宋体"/>
          <w:color w:val="auto"/>
          <w:sz w:val="24"/>
          <w:highlight w:val="none"/>
          <w:u w:val="single"/>
        </w:rPr>
        <w:t xml:space="preserve"> </w:t>
      </w:r>
    </w:p>
    <w:p w14:paraId="1C473636">
      <w:pPr>
        <w:keepNext w:val="0"/>
        <w:keepLines w:val="0"/>
        <w:pageBreakBefore w:val="0"/>
        <w:widowControl w:val="0"/>
        <w:kinsoku/>
        <w:wordWrap/>
        <w:overflowPunct/>
        <w:topLinePunct w:val="0"/>
        <w:autoSpaceDE/>
        <w:autoSpaceDN/>
        <w:bidi w:val="0"/>
        <w:adjustRightInd/>
        <w:snapToGrid/>
        <w:spacing w:line="420" w:lineRule="exact"/>
        <w:ind w:firstLine="0" w:firstLineChars="0"/>
        <w:textAlignment w:val="auto"/>
        <w:rPr>
          <w:rFonts w:ascii="宋体" w:hAnsi="宋体" w:cs="宋体"/>
          <w:color w:val="auto"/>
          <w:sz w:val="24"/>
          <w:highlight w:val="none"/>
        </w:rPr>
      </w:pP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lang w:eastAsia="zh-CN"/>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（简称乙方）签定本《安全责任协议》，明确双方责任义务。</w:t>
      </w:r>
    </w:p>
    <w:p w14:paraId="53AA9294">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甲乙双方</w:t>
      </w:r>
      <w:r>
        <w:rPr>
          <w:rFonts w:hint="eastAsia" w:ascii="宋体" w:hAnsi="宋体" w:cs="宋体"/>
          <w:color w:val="auto"/>
          <w:sz w:val="24"/>
          <w:highlight w:val="none"/>
        </w:rPr>
        <w:t xml:space="preserve">的责任义务： </w:t>
      </w:r>
    </w:p>
    <w:p w14:paraId="0F009B99">
      <w:pPr>
        <w:spacing w:line="42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（一）</w:t>
      </w:r>
      <w:r>
        <w:rPr>
          <w:rFonts w:hint="eastAsia" w:ascii="宋体" w:hAnsi="宋体" w:cs="宋体"/>
          <w:bCs/>
          <w:color w:val="auto"/>
          <w:sz w:val="24"/>
          <w:highlight w:val="none"/>
        </w:rPr>
        <w:t>甲方：</w:t>
      </w:r>
    </w:p>
    <w:p w14:paraId="7D800C3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1、对施工项目的安全生产负总责。负责对乙方的采购运输、现场作业、安全达标等活动进行监督检查和协调管理。 </w:t>
      </w:r>
    </w:p>
    <w:p w14:paraId="37AAB7F0">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2、负责向乙方传达和部署上级有关采购运输安全生产的工作内容和要求。</w:t>
      </w:r>
    </w:p>
    <w:p w14:paraId="41F2069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3、负责对乙方所属人员、车辆、设备等资质、业绩的考核评定。</w:t>
      </w:r>
    </w:p>
    <w:p w14:paraId="51F1E9B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4、负责对乙方提供的车辆、设备进行共同检查和验收，并对乙方进行安全技术交底，形成记录。</w:t>
      </w:r>
    </w:p>
    <w:p w14:paraId="16B31E97">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5、负责对乙方所属人员在安全生产中违章指挥、违规操作等不良行为，予以指正或按合同约定进行处罚。</w:t>
      </w:r>
    </w:p>
    <w:p w14:paraId="64231251">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6、定期组织安全检查，发现安全隐患及时责令乙方限期整改。</w:t>
      </w:r>
    </w:p>
    <w:p w14:paraId="14EC677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7、负责乙方安全事故的协调与处理工作。有权督促指导乙方进行事故的善后处理，有权报告地方政府管理部门，有权按照有关规定进行经济或合同处罚。</w:t>
      </w:r>
    </w:p>
    <w:p w14:paraId="45FA7133">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8、对无法满足现场安全管理或现场安全作业的人员、车辆、设备等，有权提出撤换，乙方应当予以执行。</w:t>
      </w:r>
    </w:p>
    <w:p w14:paraId="074448D9">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w:t>
      </w:r>
      <w:r>
        <w:rPr>
          <w:rFonts w:hint="eastAsia" w:ascii="宋体" w:hAnsi="宋体" w:cs="宋体"/>
          <w:bCs/>
          <w:color w:val="auto"/>
          <w:sz w:val="24"/>
          <w:highlight w:val="none"/>
        </w:rPr>
        <w:t>乙方：</w:t>
      </w:r>
    </w:p>
    <w:p w14:paraId="1453C52F">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1、乙方确保并及时提供有关</w:t>
      </w:r>
      <w:r>
        <w:rPr>
          <w:rFonts w:hint="eastAsia" w:ascii="宋体" w:hAnsi="宋体" w:cs="华文中宋"/>
          <w:color w:val="auto"/>
          <w:sz w:val="24"/>
          <w:highlight w:val="none"/>
        </w:rPr>
        <w:t>采购运输的</w:t>
      </w:r>
      <w:r>
        <w:rPr>
          <w:rFonts w:hint="eastAsia" w:ascii="宋体" w:hAnsi="宋体" w:cs="宋体"/>
          <w:color w:val="auto"/>
          <w:sz w:val="24"/>
          <w:highlight w:val="none"/>
        </w:rPr>
        <w:t>资质、业绩、保险、人员、车辆、设备等资格证书（包括特种设备的必备资料），并对资料的真实性负责。</w:t>
      </w:r>
    </w:p>
    <w:p w14:paraId="6F266AA6">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w:t>
      </w:r>
      <w:r>
        <w:rPr>
          <w:rFonts w:ascii="宋体" w:hAnsi="宋体"/>
          <w:color w:val="auto"/>
          <w:kern w:val="0"/>
          <w:sz w:val="24"/>
          <w:highlight w:val="none"/>
        </w:rPr>
        <w:t>乙方</w:t>
      </w:r>
      <w:r>
        <w:rPr>
          <w:rFonts w:hint="eastAsia" w:ascii="宋体" w:hAnsi="宋体"/>
          <w:color w:val="auto"/>
          <w:kern w:val="0"/>
          <w:sz w:val="24"/>
          <w:highlight w:val="none"/>
        </w:rPr>
        <w:t>所属人员、车辆、设备</w:t>
      </w:r>
      <w:r>
        <w:rPr>
          <w:rFonts w:ascii="宋体" w:hAnsi="宋体"/>
          <w:color w:val="auto"/>
          <w:kern w:val="0"/>
          <w:sz w:val="24"/>
          <w:highlight w:val="none"/>
        </w:rPr>
        <w:t>出入</w:t>
      </w:r>
      <w:r>
        <w:rPr>
          <w:rFonts w:hint="eastAsia" w:ascii="宋体" w:hAnsi="宋体"/>
          <w:color w:val="auto"/>
          <w:kern w:val="0"/>
          <w:sz w:val="24"/>
          <w:highlight w:val="none"/>
        </w:rPr>
        <w:t>施工</w:t>
      </w:r>
      <w:r>
        <w:rPr>
          <w:rFonts w:ascii="宋体" w:hAnsi="宋体"/>
          <w:color w:val="auto"/>
          <w:kern w:val="0"/>
          <w:sz w:val="24"/>
          <w:highlight w:val="none"/>
        </w:rPr>
        <w:t>现场</w:t>
      </w:r>
      <w:r>
        <w:rPr>
          <w:rFonts w:hint="eastAsia" w:ascii="宋体" w:hAnsi="宋体"/>
          <w:color w:val="auto"/>
          <w:kern w:val="0"/>
          <w:sz w:val="24"/>
          <w:highlight w:val="none"/>
        </w:rPr>
        <w:t>，在确保自身安全的基础上，</w:t>
      </w:r>
      <w:r>
        <w:rPr>
          <w:rFonts w:hint="eastAsia" w:ascii="宋体" w:hAnsi="宋体" w:cs="宋体"/>
          <w:color w:val="auto"/>
          <w:sz w:val="24"/>
          <w:highlight w:val="none"/>
        </w:rPr>
        <w:t>服从并接受甲方的安全检查和管理，遵守甲方的各项安全管理规章制度。</w:t>
      </w:r>
    </w:p>
    <w:p w14:paraId="334C26BE">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按照“安全自查、隐患自改、责任自负”的原则，乙方积极开展各类安全生产专项活动，宣贯国家、地方政府有关交通安全、施工安全的法律法规、标准规范，提高作业和管理人员的安全责任心。及时开展安全检查，制止和处理违章违规，排查和治理安全隐患。</w:t>
      </w:r>
    </w:p>
    <w:p w14:paraId="4F6A515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4、乙方作为专业资质单位或人员，全面落实并承担</w:t>
      </w:r>
      <w:r>
        <w:rPr>
          <w:rFonts w:hint="eastAsia" w:ascii="宋体" w:hAnsi="宋体" w:cs="华文中宋"/>
          <w:color w:val="auto"/>
          <w:sz w:val="24"/>
          <w:highlight w:val="none"/>
        </w:rPr>
        <w:t>采购运输过程中的有关安全管理责任和义务，</w:t>
      </w:r>
      <w:r>
        <w:rPr>
          <w:rFonts w:hint="eastAsia" w:ascii="宋体" w:hAnsi="宋体" w:cs="宋体"/>
          <w:color w:val="auto"/>
          <w:sz w:val="24"/>
          <w:highlight w:val="none"/>
        </w:rPr>
        <w:t>建立和健全内部安全保证体系，落实安全防护措施，确保作业中不发生安全伤亡事故。</w:t>
      </w:r>
    </w:p>
    <w:p w14:paraId="1FDE1DE8">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5、乙方及时为现场管理和作业人员配备各类安全防护用品。按时组织所属人员进行安全技术交底和安全教育培训。确保岗前三级安全培训教育率100%、驾驶作业人员持证上岗率100%。</w:t>
      </w:r>
    </w:p>
    <w:p w14:paraId="44739982">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6、乙方确保</w:t>
      </w:r>
      <w:r>
        <w:rPr>
          <w:rFonts w:hint="eastAsia" w:ascii="宋体" w:hAnsi="宋体" w:cs="华文中宋"/>
          <w:color w:val="auto"/>
          <w:sz w:val="24"/>
          <w:highlight w:val="none"/>
        </w:rPr>
        <w:t>采购运输</w:t>
      </w:r>
      <w:r>
        <w:rPr>
          <w:rFonts w:hint="eastAsia" w:ascii="宋体" w:hAnsi="宋体" w:cs="宋体"/>
          <w:color w:val="auto"/>
          <w:sz w:val="24"/>
          <w:highlight w:val="none"/>
        </w:rPr>
        <w:t>的车辆、设备安全技术性能完好，满足施工作业要求。负责做好日常维修和保养工作，确保使用率和安全性。</w:t>
      </w:r>
    </w:p>
    <w:p w14:paraId="63A988B2">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7、乙方所属</w:t>
      </w:r>
      <w:r>
        <w:rPr>
          <w:rFonts w:hint="eastAsia" w:ascii="宋体" w:hAnsi="宋体" w:cs="华文中宋"/>
          <w:color w:val="auto"/>
          <w:sz w:val="24"/>
          <w:highlight w:val="none"/>
        </w:rPr>
        <w:t>车辆、</w:t>
      </w:r>
      <w:r>
        <w:rPr>
          <w:rFonts w:hint="eastAsia" w:ascii="宋体" w:hAnsi="宋体" w:cs="宋体"/>
          <w:color w:val="auto"/>
          <w:sz w:val="24"/>
          <w:highlight w:val="none"/>
        </w:rPr>
        <w:t>设备如需现场安拆的，应向甲方提供完整有效的安拆资料。如乙方不具备相应资质的，须委托第三方的，应向甲方提供相关合同、安全协议和加盖公章的有效证书等，并对资料的真实性负责。</w:t>
      </w:r>
    </w:p>
    <w:p w14:paraId="24E91718">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8、乙方</w:t>
      </w:r>
      <w:r>
        <w:rPr>
          <w:rFonts w:hint="eastAsia" w:ascii="宋体" w:hAnsi="宋体" w:cs="华文中宋"/>
          <w:color w:val="auto"/>
          <w:sz w:val="24"/>
          <w:highlight w:val="none"/>
        </w:rPr>
        <w:t>所属</w:t>
      </w:r>
      <w:r>
        <w:rPr>
          <w:rFonts w:hint="eastAsia" w:ascii="宋体" w:hAnsi="宋体" w:cs="宋体"/>
          <w:color w:val="auto"/>
          <w:sz w:val="24"/>
          <w:highlight w:val="none"/>
        </w:rPr>
        <w:t>人员应当文明作业，安全操作，发现紧急危险情况应当及时采取措施并向乙方负责人或甲方现场安全管理人员报告。</w:t>
      </w:r>
    </w:p>
    <w:p w14:paraId="6CB24D7D">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9、乙方负责所属人员、车辆、设备与第三方的纠纷事件（事故）的协调和处理工作，并确保平安稳定。</w:t>
      </w:r>
    </w:p>
    <w:p w14:paraId="6999471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10、乙方承诺：</w:t>
      </w:r>
    </w:p>
    <w:p w14:paraId="382DF6B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（1）承担</w:t>
      </w:r>
      <w:r>
        <w:rPr>
          <w:rFonts w:hint="eastAsia" w:ascii="宋体" w:hAnsi="宋体" w:cs="华文中宋"/>
          <w:color w:val="auto"/>
          <w:sz w:val="24"/>
          <w:highlight w:val="none"/>
        </w:rPr>
        <w:t>采购运输</w:t>
      </w:r>
      <w:r>
        <w:rPr>
          <w:rFonts w:hint="eastAsia" w:ascii="宋体" w:hAnsi="宋体" w:cs="宋体"/>
          <w:color w:val="auto"/>
          <w:sz w:val="24"/>
          <w:highlight w:val="none"/>
        </w:rPr>
        <w:t>过程中的各类违章违约责任。若在</w:t>
      </w:r>
      <w:r>
        <w:rPr>
          <w:rFonts w:ascii="宋体" w:hAnsi="宋体"/>
          <w:color w:val="auto"/>
          <w:kern w:val="0"/>
          <w:sz w:val="24"/>
          <w:highlight w:val="none"/>
        </w:rPr>
        <w:t>装卸、运输</w:t>
      </w:r>
      <w:r>
        <w:rPr>
          <w:rFonts w:hint="eastAsia" w:ascii="宋体" w:hAnsi="宋体"/>
          <w:color w:val="auto"/>
          <w:kern w:val="0"/>
          <w:sz w:val="24"/>
          <w:highlight w:val="none"/>
        </w:rPr>
        <w:t>、停放等</w:t>
      </w:r>
      <w:r>
        <w:rPr>
          <w:rFonts w:ascii="宋体" w:hAnsi="宋体"/>
          <w:color w:val="auto"/>
          <w:kern w:val="0"/>
          <w:sz w:val="24"/>
          <w:highlight w:val="none"/>
        </w:rPr>
        <w:t>过程中</w:t>
      </w:r>
      <w:r>
        <w:rPr>
          <w:rFonts w:hint="eastAsia" w:ascii="宋体" w:hAnsi="宋体"/>
          <w:color w:val="auto"/>
          <w:kern w:val="0"/>
          <w:sz w:val="24"/>
          <w:highlight w:val="none"/>
        </w:rPr>
        <w:t>，发生</w:t>
      </w:r>
      <w:r>
        <w:rPr>
          <w:rFonts w:hint="eastAsia" w:ascii="宋体" w:hAnsi="宋体" w:cs="宋体"/>
          <w:color w:val="auto"/>
          <w:sz w:val="24"/>
          <w:highlight w:val="none"/>
        </w:rPr>
        <w:t>违章违约事件的，乙方自行担当并妥善处理。其中由于</w:t>
      </w:r>
      <w:r>
        <w:rPr>
          <w:rFonts w:ascii="宋体" w:hAnsi="宋体"/>
          <w:color w:val="auto"/>
          <w:kern w:val="0"/>
          <w:sz w:val="24"/>
          <w:highlight w:val="none"/>
        </w:rPr>
        <w:t>不听从甲方</w:t>
      </w:r>
      <w:r>
        <w:rPr>
          <w:rFonts w:hint="eastAsia" w:ascii="宋体" w:hAnsi="宋体"/>
          <w:color w:val="auto"/>
          <w:kern w:val="0"/>
          <w:sz w:val="24"/>
          <w:highlight w:val="none"/>
        </w:rPr>
        <w:t>安全</w:t>
      </w:r>
      <w:r>
        <w:rPr>
          <w:rFonts w:ascii="宋体" w:hAnsi="宋体"/>
          <w:color w:val="auto"/>
          <w:kern w:val="0"/>
          <w:sz w:val="24"/>
          <w:highlight w:val="none"/>
        </w:rPr>
        <w:t>管理</w:t>
      </w:r>
      <w:r>
        <w:rPr>
          <w:rFonts w:hint="eastAsia" w:ascii="宋体" w:hAnsi="宋体" w:cs="宋体"/>
          <w:color w:val="auto"/>
          <w:sz w:val="24"/>
          <w:highlight w:val="none"/>
        </w:rPr>
        <w:t>的，</w:t>
      </w:r>
      <w:r>
        <w:rPr>
          <w:rFonts w:ascii="宋体" w:hAnsi="宋体"/>
          <w:color w:val="auto"/>
          <w:kern w:val="0"/>
          <w:sz w:val="24"/>
          <w:highlight w:val="none"/>
        </w:rPr>
        <w:t>甲方有权清理出场</w:t>
      </w:r>
      <w:r>
        <w:rPr>
          <w:rFonts w:hint="eastAsia" w:ascii="宋体" w:hAnsi="宋体"/>
          <w:color w:val="auto"/>
          <w:kern w:val="0"/>
          <w:sz w:val="24"/>
          <w:highlight w:val="none"/>
        </w:rPr>
        <w:t>，</w:t>
      </w:r>
      <w:r>
        <w:rPr>
          <w:rFonts w:ascii="宋体" w:hAnsi="宋体"/>
          <w:color w:val="auto"/>
          <w:kern w:val="0"/>
          <w:sz w:val="24"/>
          <w:highlight w:val="none"/>
        </w:rPr>
        <w:t>由此影响施工所造成的一切损失由乙方承担。</w:t>
      </w:r>
    </w:p>
    <w:p w14:paraId="01B13B6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（2）承担</w:t>
      </w:r>
      <w:r>
        <w:rPr>
          <w:rFonts w:hint="eastAsia" w:ascii="宋体" w:hAnsi="宋体" w:cs="华文中宋"/>
          <w:color w:val="auto"/>
          <w:sz w:val="24"/>
          <w:highlight w:val="none"/>
        </w:rPr>
        <w:t>采购运输</w:t>
      </w:r>
      <w:r>
        <w:rPr>
          <w:rFonts w:hint="eastAsia" w:ascii="宋体" w:hAnsi="宋体" w:cs="宋体"/>
          <w:color w:val="auto"/>
          <w:sz w:val="24"/>
          <w:highlight w:val="none"/>
        </w:rPr>
        <w:t>过程中的各类安全事故责任。若在</w:t>
      </w:r>
      <w:r>
        <w:rPr>
          <w:rFonts w:ascii="宋体" w:hAnsi="宋体"/>
          <w:color w:val="auto"/>
          <w:kern w:val="0"/>
          <w:sz w:val="24"/>
          <w:highlight w:val="none"/>
        </w:rPr>
        <w:t>装卸、运输</w:t>
      </w:r>
      <w:r>
        <w:rPr>
          <w:rFonts w:hint="eastAsia" w:ascii="宋体" w:hAnsi="宋体"/>
          <w:color w:val="auto"/>
          <w:kern w:val="0"/>
          <w:sz w:val="24"/>
          <w:highlight w:val="none"/>
        </w:rPr>
        <w:t>、停放等</w:t>
      </w:r>
      <w:r>
        <w:rPr>
          <w:rFonts w:ascii="宋体" w:hAnsi="宋体"/>
          <w:color w:val="auto"/>
          <w:kern w:val="0"/>
          <w:sz w:val="24"/>
          <w:highlight w:val="none"/>
        </w:rPr>
        <w:t>过程中</w:t>
      </w:r>
      <w:r>
        <w:rPr>
          <w:rFonts w:hint="eastAsia" w:ascii="宋体" w:hAnsi="宋体"/>
          <w:color w:val="auto"/>
          <w:kern w:val="0"/>
          <w:sz w:val="24"/>
          <w:highlight w:val="none"/>
        </w:rPr>
        <w:t>，</w:t>
      </w:r>
      <w:r>
        <w:rPr>
          <w:rFonts w:hint="eastAsia" w:ascii="宋体" w:hAnsi="宋体" w:cs="宋体"/>
          <w:color w:val="auto"/>
          <w:sz w:val="24"/>
          <w:highlight w:val="none"/>
        </w:rPr>
        <w:t>发生安全事故的，在抢救伤者、保护现场、积极处置的同时，第一时间向甲方及当地交通安全管理部门报告。事故造成的经济损失及给甲方造成的连带经济损失，全部由乙方承担。</w:t>
      </w:r>
    </w:p>
    <w:p w14:paraId="129CEEBD">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二、其他</w:t>
      </w:r>
    </w:p>
    <w:p w14:paraId="351C3B9A">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1、本协议作为甲乙双方有关</w:t>
      </w:r>
      <w:r>
        <w:rPr>
          <w:rFonts w:hint="eastAsia" w:ascii="宋体" w:hAnsi="宋体" w:cs="华文中宋"/>
          <w:color w:val="auto"/>
          <w:sz w:val="24"/>
          <w:highlight w:val="none"/>
        </w:rPr>
        <w:t>材料采购（设备）</w:t>
      </w:r>
      <w:r>
        <w:rPr>
          <w:rFonts w:hint="eastAsia" w:ascii="宋体" w:hAnsi="宋体" w:cs="宋体"/>
          <w:color w:val="auto"/>
          <w:sz w:val="24"/>
          <w:highlight w:val="none"/>
        </w:rPr>
        <w:t>合同的补充协议，双方签字盖章后生效，与</w:t>
      </w:r>
      <w:r>
        <w:rPr>
          <w:rFonts w:hint="eastAsia" w:ascii="宋体" w:hAnsi="宋体" w:cs="华文中宋"/>
          <w:color w:val="auto"/>
          <w:sz w:val="24"/>
          <w:highlight w:val="none"/>
        </w:rPr>
        <w:t>材料(设备)采购</w:t>
      </w:r>
      <w:r>
        <w:rPr>
          <w:rFonts w:hint="eastAsia" w:ascii="宋体" w:hAnsi="宋体" w:cs="宋体"/>
          <w:color w:val="auto"/>
          <w:sz w:val="24"/>
          <w:highlight w:val="none"/>
        </w:rPr>
        <w:t>合同具有同等法律效力。</w:t>
      </w:r>
    </w:p>
    <w:p w14:paraId="40DC925C">
      <w:pPr>
        <w:spacing w:line="42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2、本协议一式</w:t>
      </w:r>
      <w:r>
        <w:rPr>
          <w:rFonts w:hint="eastAsia" w:ascii="宋体" w:hAnsi="宋体" w:cs="宋体"/>
          <w:color w:val="auto"/>
          <w:sz w:val="24"/>
          <w:highlight w:val="none"/>
          <w:lang w:eastAsia="zh-CN"/>
        </w:rPr>
        <w:t>六</w:t>
      </w:r>
      <w:r>
        <w:rPr>
          <w:rFonts w:hint="eastAsia" w:ascii="宋体" w:hAnsi="宋体" w:cs="宋体"/>
          <w:color w:val="auto"/>
          <w:sz w:val="24"/>
          <w:highlight w:val="none"/>
        </w:rPr>
        <w:t>份，</w:t>
      </w:r>
      <w:r>
        <w:rPr>
          <w:color w:val="auto"/>
          <w:kern w:val="0"/>
          <w:sz w:val="24"/>
          <w:highlight w:val="none"/>
        </w:rPr>
        <w:t>甲方执</w:t>
      </w:r>
      <w:r>
        <w:rPr>
          <w:rFonts w:hint="eastAsia"/>
          <w:color w:val="auto"/>
          <w:kern w:val="0"/>
          <w:sz w:val="24"/>
          <w:highlight w:val="none"/>
          <w:u w:val="none"/>
          <w:lang w:eastAsia="zh-CN"/>
        </w:rPr>
        <w:t>四</w:t>
      </w:r>
      <w:r>
        <w:rPr>
          <w:color w:val="auto"/>
          <w:kern w:val="0"/>
          <w:sz w:val="24"/>
          <w:highlight w:val="none"/>
          <w:u w:val="none"/>
        </w:rPr>
        <w:t>份，乙方执</w:t>
      </w:r>
      <w:r>
        <w:rPr>
          <w:rFonts w:hint="eastAsia"/>
          <w:color w:val="auto"/>
          <w:kern w:val="0"/>
          <w:sz w:val="24"/>
          <w:highlight w:val="none"/>
          <w:u w:val="none"/>
          <w:lang w:eastAsia="zh-CN"/>
        </w:rPr>
        <w:t>二</w:t>
      </w:r>
      <w:r>
        <w:rPr>
          <w:color w:val="auto"/>
          <w:kern w:val="0"/>
          <w:sz w:val="24"/>
          <w:highlight w:val="none"/>
        </w:rPr>
        <w:t>份</w:t>
      </w:r>
      <w:r>
        <w:rPr>
          <w:rFonts w:hint="eastAsia" w:ascii="宋体" w:hAnsi="宋体" w:cs="宋体"/>
          <w:color w:val="auto"/>
          <w:sz w:val="24"/>
          <w:highlight w:val="none"/>
        </w:rPr>
        <w:t>，</w:t>
      </w:r>
      <w:r>
        <w:rPr>
          <w:rFonts w:hint="eastAsia" w:ascii="宋体" w:hAnsi="宋体" w:cs="华文中宋"/>
          <w:color w:val="auto"/>
          <w:sz w:val="24"/>
          <w:highlight w:val="none"/>
        </w:rPr>
        <w:t>采购</w:t>
      </w:r>
      <w:r>
        <w:rPr>
          <w:rFonts w:hint="eastAsia" w:ascii="宋体" w:hAnsi="宋体" w:cs="宋体"/>
          <w:color w:val="auto"/>
          <w:sz w:val="24"/>
          <w:highlight w:val="none"/>
        </w:rPr>
        <w:t>合同终止，本协议终止。</w:t>
      </w:r>
    </w:p>
    <w:p w14:paraId="63E6FBB9">
      <w:pPr>
        <w:spacing w:line="420" w:lineRule="exact"/>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甲方单位（章）：</w:t>
      </w:r>
      <w:r>
        <w:rPr>
          <w:rFonts w:hint="eastAsia"/>
          <w:color w:val="auto"/>
          <w:kern w:val="0"/>
          <w:sz w:val="24"/>
          <w:highlight w:val="none"/>
          <w:u w:val="single"/>
        </w:rPr>
        <w:t>浙江钱塘江水利建筑工程有限公司</w:t>
      </w:r>
      <w:r>
        <w:rPr>
          <w:rFonts w:hint="eastAsia"/>
          <w:color w:val="auto"/>
          <w:kern w:val="0"/>
          <w:sz w:val="24"/>
          <w:highlight w:val="none"/>
          <w:u w:val="single"/>
          <w:lang w:val="en-US" w:eastAsia="zh-CN"/>
        </w:rPr>
        <w:t>青田</w:t>
      </w:r>
      <w:r>
        <w:rPr>
          <w:rFonts w:hint="eastAsia"/>
          <w:color w:val="auto"/>
          <w:kern w:val="0"/>
          <w:sz w:val="24"/>
          <w:highlight w:val="none"/>
          <w:u w:val="single"/>
        </w:rPr>
        <w:t>分公司</w:t>
      </w:r>
      <w:r>
        <w:rPr>
          <w:rFonts w:hint="eastAsia" w:ascii="宋体" w:hAnsi="宋体" w:cs="宋体"/>
          <w:color w:val="auto"/>
          <w:sz w:val="24"/>
          <w:highlight w:val="none"/>
        </w:rPr>
        <w:t>代表（签字）</w:t>
      </w:r>
      <w:r>
        <w:rPr>
          <w:rFonts w:hint="eastAsia" w:ascii="宋体" w:hAnsi="宋体" w:cs="宋体"/>
          <w:color w:val="auto"/>
          <w:sz w:val="24"/>
          <w:highlight w:val="none"/>
          <w:u w:val="single"/>
          <w:lang w:val="en-US" w:eastAsia="zh-CN"/>
        </w:rPr>
        <w:t xml:space="preserve">                    </w:t>
      </w:r>
    </w:p>
    <w:p w14:paraId="633191A6">
      <w:pPr>
        <w:spacing w:line="420" w:lineRule="exact"/>
        <w:jc w:val="left"/>
        <w:rPr>
          <w:rFonts w:hint="eastAsia" w:ascii="宋体" w:hAnsi="宋体" w:cs="宋体"/>
          <w:color w:val="auto"/>
          <w:sz w:val="24"/>
          <w:highlight w:val="none"/>
        </w:rPr>
      </w:pPr>
    </w:p>
    <w:p w14:paraId="6A4C159A">
      <w:pPr>
        <w:spacing w:line="420" w:lineRule="exact"/>
        <w:jc w:val="left"/>
        <w:rPr>
          <w:rFonts w:hint="default" w:ascii="宋体" w:hAnsi="宋体" w:eastAsia="宋体" w:cs="宋体"/>
          <w:color w:val="auto"/>
          <w:sz w:val="24"/>
          <w:highlight w:val="none"/>
          <w:u w:val="single"/>
          <w:lang w:val="en-US" w:eastAsia="zh-CN"/>
        </w:rPr>
      </w:pPr>
      <w:r>
        <w:rPr>
          <w:rFonts w:hint="eastAsia" w:ascii="宋体" w:hAnsi="宋体" w:cs="宋体"/>
          <w:color w:val="auto"/>
          <w:sz w:val="24"/>
          <w:highlight w:val="none"/>
        </w:rPr>
        <w:t>乙方单位（章）：</w:t>
      </w:r>
      <w:r>
        <w:rPr>
          <w:rFonts w:hint="eastAsia" w:ascii="宋体" w:hAnsi="宋体" w:cs="宋体"/>
          <w:color w:val="auto"/>
          <w:sz w:val="24"/>
          <w:highlight w:val="none"/>
          <w:u w:val="single"/>
          <w:lang w:val="en-US" w:eastAsia="zh-CN"/>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lang w:eastAsia="zh-CN"/>
        </w:rPr>
        <w:t xml:space="preserve"> </w:t>
      </w:r>
      <w:r>
        <w:rPr>
          <w:rFonts w:hint="eastAsia" w:ascii="宋体" w:hAnsi="宋体"/>
          <w:color w:val="auto"/>
          <w:sz w:val="24"/>
          <w:highlight w:val="none"/>
          <w:u w:val="single"/>
        </w:rPr>
        <w:t xml:space="preserve"> </w:t>
      </w:r>
      <w:r>
        <w:rPr>
          <w:rFonts w:hint="eastAsia"/>
          <w:color w:val="auto"/>
          <w:kern w:val="0"/>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代表（签字）</w:t>
      </w:r>
      <w:r>
        <w:rPr>
          <w:rFonts w:hint="eastAsia" w:ascii="宋体" w:hAnsi="宋体" w:cs="宋体"/>
          <w:color w:val="auto"/>
          <w:sz w:val="24"/>
          <w:highlight w:val="none"/>
          <w:u w:val="single"/>
          <w:lang w:val="en-US" w:eastAsia="zh-CN"/>
        </w:rPr>
        <w:t xml:space="preserve">           </w:t>
      </w:r>
    </w:p>
    <w:p w14:paraId="4040A11E">
      <w:pPr>
        <w:autoSpaceDE w:val="0"/>
        <w:autoSpaceDN w:val="0"/>
        <w:adjustRightInd w:val="0"/>
        <w:spacing w:line="360" w:lineRule="auto"/>
        <w:contextualSpacing/>
        <w:jc w:val="left"/>
        <w:rPr>
          <w:color w:val="auto"/>
          <w:kern w:val="0"/>
          <w:sz w:val="24"/>
          <w:highlight w:val="none"/>
        </w:rPr>
      </w:pPr>
    </w:p>
    <w:p w14:paraId="1282C977">
      <w:pPr>
        <w:autoSpaceDE w:val="0"/>
        <w:autoSpaceDN w:val="0"/>
        <w:adjustRightInd w:val="0"/>
        <w:spacing w:line="360" w:lineRule="auto"/>
        <w:contextualSpacing/>
        <w:jc w:val="left"/>
        <w:rPr>
          <w:color w:val="auto"/>
          <w:kern w:val="0"/>
          <w:sz w:val="24"/>
          <w:highlight w:val="none"/>
        </w:rPr>
      </w:pPr>
      <w:r>
        <w:rPr>
          <w:color w:val="auto"/>
          <w:kern w:val="0"/>
          <w:sz w:val="24"/>
          <w:highlight w:val="none"/>
        </w:rPr>
        <w:t>附件</w:t>
      </w:r>
      <w:r>
        <w:rPr>
          <w:rFonts w:hint="eastAsia"/>
          <w:color w:val="auto"/>
          <w:kern w:val="0"/>
          <w:sz w:val="24"/>
          <w:highlight w:val="none"/>
          <w:lang w:val="en-US" w:eastAsia="zh-CN"/>
        </w:rPr>
        <w:t>3</w:t>
      </w:r>
      <w:r>
        <w:rPr>
          <w:color w:val="auto"/>
          <w:kern w:val="0"/>
          <w:sz w:val="24"/>
          <w:highlight w:val="none"/>
        </w:rPr>
        <w:t>：</w:t>
      </w:r>
    </w:p>
    <w:p w14:paraId="4725D6AE">
      <w:pPr>
        <w:spacing w:line="312" w:lineRule="auto"/>
        <w:ind w:firstLine="482" w:firstLineChars="200"/>
        <w:jc w:val="center"/>
        <w:rPr>
          <w:rFonts w:ascii="宋体" w:hAnsi="宋体" w:cs="宋体"/>
          <w:color w:val="auto"/>
          <w:kern w:val="0"/>
          <w:sz w:val="24"/>
          <w:highlight w:val="none"/>
        </w:rPr>
      </w:pPr>
      <w:r>
        <w:rPr>
          <w:rFonts w:hint="eastAsia" w:ascii="宋体" w:hAnsi="宋体" w:cs="宋体"/>
          <w:b/>
          <w:color w:val="auto"/>
          <w:kern w:val="0"/>
          <w:sz w:val="24"/>
          <w:szCs w:val="24"/>
          <w:highlight w:val="none"/>
        </w:rPr>
        <w:t>工程建设项目廉政责任书</w:t>
      </w:r>
    </w:p>
    <w:p w14:paraId="4E110D0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工程项目名称：</w:t>
      </w:r>
      <w:r>
        <w:rPr>
          <w:rFonts w:hint="eastAsia" w:ascii="宋体" w:hAnsi="宋体" w:eastAsia="宋体" w:cs="宋体"/>
          <w:color w:val="auto"/>
          <w:kern w:val="0"/>
          <w:sz w:val="24"/>
          <w:szCs w:val="24"/>
          <w:highlight w:val="none"/>
          <w:u w:val="single"/>
          <w:lang w:eastAsia="zh-CN"/>
        </w:rPr>
        <w:t>浙江青田抽水蓄能电站项目筹建期工程设计-采购-施工总承包（EPC）</w:t>
      </w:r>
      <w:r>
        <w:rPr>
          <w:rFonts w:hint="eastAsia" w:ascii="宋体" w:hAnsi="宋体" w:eastAsia="宋体" w:cs="宋体"/>
          <w:color w:val="auto"/>
          <w:kern w:val="0"/>
          <w:sz w:val="24"/>
          <w:szCs w:val="24"/>
          <w:highlight w:val="none"/>
          <w:u w:val="single"/>
          <w:lang w:val="en-US" w:eastAsia="zh-CN"/>
        </w:rPr>
        <w:t>安全文明设施</w:t>
      </w:r>
      <w:r>
        <w:rPr>
          <w:rFonts w:hint="eastAsia" w:ascii="宋体" w:hAnsi="宋体" w:eastAsia="宋体" w:cs="宋体"/>
          <w:color w:val="auto"/>
          <w:kern w:val="0"/>
          <w:sz w:val="24"/>
          <w:szCs w:val="24"/>
          <w:highlight w:val="none"/>
          <w:u w:val="single"/>
          <w:lang w:eastAsia="zh-CN"/>
        </w:rPr>
        <w:t>采购</w:t>
      </w:r>
      <w:r>
        <w:rPr>
          <w:rFonts w:hint="eastAsia" w:ascii="宋体" w:hAnsi="宋体" w:cs="宋体"/>
          <w:color w:val="auto"/>
          <w:kern w:val="0"/>
          <w:sz w:val="24"/>
          <w:szCs w:val="24"/>
          <w:highlight w:val="none"/>
        </w:rPr>
        <w:t xml:space="preserve">                                                     </w:t>
      </w:r>
    </w:p>
    <w:p w14:paraId="3A5972DD">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工程项目地址：</w:t>
      </w:r>
      <w:r>
        <w:rPr>
          <w:rFonts w:hint="eastAsia" w:ascii="宋体" w:hAnsi="宋体" w:cs="宋体"/>
          <w:color w:val="auto"/>
          <w:kern w:val="0"/>
          <w:sz w:val="24"/>
          <w:szCs w:val="24"/>
          <w:highlight w:val="none"/>
          <w:u w:val="single"/>
        </w:rPr>
        <w:t>浙江省</w:t>
      </w:r>
      <w:r>
        <w:rPr>
          <w:rFonts w:hint="eastAsia" w:ascii="宋体" w:hAnsi="宋体" w:cs="宋体"/>
          <w:color w:val="auto"/>
          <w:kern w:val="0"/>
          <w:sz w:val="24"/>
          <w:szCs w:val="24"/>
          <w:highlight w:val="none"/>
          <w:u w:val="single"/>
          <w:lang w:val="en-US" w:eastAsia="zh-CN"/>
        </w:rPr>
        <w:t>丽水</w:t>
      </w:r>
      <w:r>
        <w:rPr>
          <w:rFonts w:hint="eastAsia" w:ascii="宋体" w:hAnsi="宋体" w:cs="宋体"/>
          <w:color w:val="auto"/>
          <w:kern w:val="0"/>
          <w:sz w:val="24"/>
          <w:szCs w:val="24"/>
          <w:highlight w:val="none"/>
          <w:u w:val="single"/>
          <w:lang w:eastAsia="zh-CN"/>
        </w:rPr>
        <w:t>市</w:t>
      </w:r>
      <w:r>
        <w:rPr>
          <w:rFonts w:hint="eastAsia" w:ascii="宋体" w:hAnsi="宋体" w:cs="宋体"/>
          <w:color w:val="auto"/>
          <w:kern w:val="0"/>
          <w:sz w:val="24"/>
          <w:szCs w:val="24"/>
          <w:highlight w:val="none"/>
          <w:u w:val="single"/>
          <w:lang w:val="en-US" w:eastAsia="zh-CN"/>
        </w:rPr>
        <w:t>青田</w:t>
      </w:r>
      <w:r>
        <w:rPr>
          <w:rFonts w:hint="eastAsia" w:ascii="宋体" w:hAnsi="宋体" w:cs="宋体"/>
          <w:color w:val="auto"/>
          <w:kern w:val="0"/>
          <w:sz w:val="24"/>
          <w:szCs w:val="24"/>
          <w:highlight w:val="none"/>
          <w:u w:val="single"/>
          <w:lang w:eastAsia="zh-CN"/>
        </w:rPr>
        <w:t>县</w:t>
      </w:r>
      <w:r>
        <w:rPr>
          <w:rFonts w:hint="eastAsia" w:ascii="宋体" w:hAnsi="宋体" w:cs="宋体"/>
          <w:color w:val="auto"/>
          <w:kern w:val="0"/>
          <w:sz w:val="24"/>
          <w:szCs w:val="24"/>
          <w:highlight w:val="none"/>
        </w:rPr>
        <w:t xml:space="preserve">                                                        </w:t>
      </w:r>
    </w:p>
    <w:p w14:paraId="5918FD3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甲方：</w:t>
      </w:r>
      <w:r>
        <w:rPr>
          <w:rFonts w:hint="eastAsia" w:ascii="宋体" w:hAnsi="宋体" w:cs="宋体"/>
          <w:color w:val="auto"/>
          <w:kern w:val="0"/>
          <w:sz w:val="24"/>
          <w:szCs w:val="24"/>
          <w:highlight w:val="none"/>
          <w:u w:val="single"/>
        </w:rPr>
        <w:t>浙江钱塘江水利建筑工程有限公司</w:t>
      </w:r>
      <w:r>
        <w:rPr>
          <w:rFonts w:hint="eastAsia" w:ascii="宋体" w:hAnsi="宋体" w:cs="宋体"/>
          <w:color w:val="auto"/>
          <w:kern w:val="0"/>
          <w:sz w:val="24"/>
          <w:szCs w:val="24"/>
          <w:highlight w:val="none"/>
          <w:u w:val="single"/>
          <w:lang w:val="en-US" w:eastAsia="zh-CN"/>
        </w:rPr>
        <w:t>青田分公司</w:t>
      </w:r>
      <w:r>
        <w:rPr>
          <w:rFonts w:hint="eastAsia" w:ascii="宋体" w:hAnsi="宋体" w:cs="宋体"/>
          <w:color w:val="auto"/>
          <w:kern w:val="0"/>
          <w:sz w:val="24"/>
          <w:szCs w:val="24"/>
          <w:highlight w:val="none"/>
        </w:rPr>
        <w:t xml:space="preserve">                                                      </w:t>
      </w:r>
    </w:p>
    <w:p w14:paraId="7701FA2A">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乙方：</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eastAsia="zh-CN"/>
        </w:rPr>
        <w:t xml:space="preserve"> </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 xml:space="preserve">           </w:t>
      </w:r>
    </w:p>
    <w:p w14:paraId="062FD1B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74568B14">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第一条 甲乙双方的责任</w:t>
      </w:r>
    </w:p>
    <w:p w14:paraId="28A1F6D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（一）应严格遵守国家关于市场准入、项目招标投标、工程建设、施工安装和市场活动等有关法律、法规，相关政策，以及廉政建设的各项规定。</w:t>
      </w:r>
    </w:p>
    <w:p w14:paraId="57F71482">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（二）严格执行建设工程项目承发包合同文件，自觉按合同办事。</w:t>
      </w:r>
    </w:p>
    <w:p w14:paraId="3BAAFDE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（三）业务活动必须坚持公开、公平、公正、诚信、透明的原则（除法律法规另有规定者外），不得为获取不正当的利益，损害国家、集体和对方利益，不得违反工程建设管理、施工安装的规章制度。</w:t>
      </w:r>
    </w:p>
    <w:p w14:paraId="4FB92816">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（四）发现对方在业务活动中有违规、违纪、违法行为的，应及时提醒对方，情节严重的，应向其上级主管部门或纪检监察、司法等有关机关举报。</w:t>
      </w:r>
    </w:p>
    <w:p w14:paraId="00FFCC6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第二条 甲方的责任</w:t>
      </w:r>
    </w:p>
    <w:p w14:paraId="2ADDD6D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甲方的领导和从事该建设工程项目的工作人员，在工程建设的事前、事中、事后应遵守以下规定：</w:t>
      </w:r>
    </w:p>
    <w:p w14:paraId="23C0C50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（一）不准向乙方和相关单位索要或接受回扣、礼金、有价证券、贵重物品和好处费、感谢费等。</w:t>
      </w:r>
    </w:p>
    <w:p w14:paraId="261C7346">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（二）不准在乙方和相关单位报销任何应由甲方或个人支付的费用。</w:t>
      </w:r>
    </w:p>
    <w:p w14:paraId="5F8C463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（三）不准要求、暗示和接受乙方和相关单位为个人装修住房、婚丧嫁娶、配偶子女的工作安排以及出国（境）、旅游等提供方便。</w:t>
      </w:r>
    </w:p>
    <w:p w14:paraId="4F9907F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（四）不准参加有可能影响公正执行公务的乙方和相关单位的宴请和健身、娱乐等活动。</w:t>
      </w:r>
    </w:p>
    <w:p w14:paraId="6E1DA9EB">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3F7D0153">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第三条 乙方的责任</w:t>
      </w:r>
    </w:p>
    <w:p w14:paraId="1637993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应与甲方保持正常的业务交往，按照有关法律法规和程序开展业务工作，严格执行工程建设的有关方针、政策，尤其是有关建筑施工安装的强制性标准和规范，并遵守以下规定：</w:t>
      </w:r>
    </w:p>
    <w:p w14:paraId="39B5AFD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（一）不准以任何理由向甲方、相关单位及其工作人员索要、接受或赠送礼金、有价证券、贵重物品和回扣、好处费、感谢费等。</w:t>
      </w:r>
    </w:p>
    <w:p w14:paraId="09DBE64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（二）不准以任何理由为甲方和相关单位报销应由对方或个人支付的费用。</w:t>
      </w:r>
    </w:p>
    <w:p w14:paraId="5DEDCEAD">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（三）不准接受或暗示为甲方、相关单位或个人装修住房、婚丧嫁娶、配偶子女的工作安排以及出国（境）、旅游等提供方便。</w:t>
      </w:r>
    </w:p>
    <w:p w14:paraId="06D6A321">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（四）不准以任何理由为甲方、相关单位或个人组织有可能影响公正执行公务的宴请、健身、娱乐等活动。</w:t>
      </w:r>
    </w:p>
    <w:p w14:paraId="60576B28">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第四条 违约责任</w:t>
      </w:r>
    </w:p>
    <w:p w14:paraId="49BD19B2">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2D38583E">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0CC285EA">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第五条 违反廉政协议规定的举报电话为</w:t>
      </w:r>
      <w:r>
        <w:rPr>
          <w:rFonts w:hint="eastAsia" w:ascii="宋体" w:hAnsi="宋体" w:cs="宋体"/>
          <w:color w:val="auto"/>
          <w:kern w:val="0"/>
          <w:sz w:val="24"/>
          <w:szCs w:val="24"/>
          <w:highlight w:val="none"/>
          <w:u w:val="single"/>
        </w:rPr>
        <w:t xml:space="preserve"> 0571-86636290 </w:t>
      </w:r>
      <w:r>
        <w:rPr>
          <w:rFonts w:hint="eastAsia" w:ascii="宋体" w:hAnsi="宋体" w:cs="宋体"/>
          <w:color w:val="auto"/>
          <w:kern w:val="0"/>
          <w:sz w:val="24"/>
          <w:szCs w:val="24"/>
          <w:highlight w:val="none"/>
        </w:rPr>
        <w:t xml:space="preserve">。 </w:t>
      </w:r>
    </w:p>
    <w:p w14:paraId="578A08DF">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第六条 本责任书作为工程施工合同的附件，与工程施工合同具有同等法律效力。经双方签署后立即生效。</w:t>
      </w:r>
    </w:p>
    <w:p w14:paraId="6A11C549">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第七条 本责任书的有效期为双方签署之日起至该工程项目竣工验收合格时止。</w:t>
      </w:r>
    </w:p>
    <w:p w14:paraId="489B8F17">
      <w:pPr>
        <w:spacing w:line="312" w:lineRule="auto"/>
        <w:ind w:firstLine="480" w:firstLineChars="200"/>
        <w:rPr>
          <w:rFonts w:ascii="宋体" w:hAnsi="宋体" w:cs="宋体"/>
          <w:color w:val="auto"/>
          <w:kern w:val="0"/>
          <w:sz w:val="24"/>
          <w:highlight w:val="none"/>
        </w:rPr>
      </w:pPr>
      <w:r>
        <w:rPr>
          <w:rFonts w:hint="eastAsia" w:ascii="宋体" w:hAnsi="宋体" w:cs="宋体"/>
          <w:color w:val="auto"/>
          <w:kern w:val="0"/>
          <w:sz w:val="24"/>
          <w:szCs w:val="24"/>
          <w:highlight w:val="none"/>
        </w:rPr>
        <w:t>第八条 本责任书一式</w:t>
      </w:r>
      <w:r>
        <w:rPr>
          <w:rFonts w:hint="eastAsia" w:ascii="宋体" w:hAnsi="宋体" w:cs="宋体"/>
          <w:color w:val="auto"/>
          <w:kern w:val="0"/>
          <w:sz w:val="24"/>
          <w:szCs w:val="24"/>
          <w:highlight w:val="none"/>
          <w:lang w:eastAsia="zh-CN"/>
        </w:rPr>
        <w:t>六</w:t>
      </w:r>
      <w:r>
        <w:rPr>
          <w:rFonts w:hint="eastAsia" w:ascii="宋体" w:hAnsi="宋体" w:cs="宋体"/>
          <w:color w:val="auto"/>
          <w:kern w:val="0"/>
          <w:sz w:val="24"/>
          <w:szCs w:val="24"/>
          <w:highlight w:val="none"/>
        </w:rPr>
        <w:t>份，</w:t>
      </w:r>
      <w:r>
        <w:rPr>
          <w:color w:val="auto"/>
          <w:kern w:val="0"/>
          <w:sz w:val="24"/>
          <w:highlight w:val="none"/>
        </w:rPr>
        <w:t>甲方执</w:t>
      </w:r>
      <w:r>
        <w:rPr>
          <w:rFonts w:hint="eastAsia"/>
          <w:color w:val="auto"/>
          <w:kern w:val="0"/>
          <w:sz w:val="24"/>
          <w:highlight w:val="none"/>
          <w:u w:val="none"/>
          <w:lang w:eastAsia="zh-CN"/>
        </w:rPr>
        <w:t>三</w:t>
      </w:r>
      <w:r>
        <w:rPr>
          <w:color w:val="auto"/>
          <w:kern w:val="0"/>
          <w:sz w:val="24"/>
          <w:highlight w:val="none"/>
          <w:u w:val="none"/>
        </w:rPr>
        <w:t>份，乙方执</w:t>
      </w:r>
      <w:r>
        <w:rPr>
          <w:rFonts w:hint="eastAsia"/>
          <w:color w:val="auto"/>
          <w:kern w:val="0"/>
          <w:sz w:val="24"/>
          <w:highlight w:val="none"/>
          <w:u w:val="none"/>
          <w:lang w:eastAsia="zh-CN"/>
        </w:rPr>
        <w:t>一</w:t>
      </w:r>
      <w:r>
        <w:rPr>
          <w:color w:val="auto"/>
          <w:kern w:val="0"/>
          <w:sz w:val="24"/>
          <w:highlight w:val="none"/>
        </w:rPr>
        <w:t>份</w:t>
      </w:r>
      <w:r>
        <w:rPr>
          <w:rFonts w:hint="eastAsia"/>
          <w:color w:val="auto"/>
          <w:kern w:val="0"/>
          <w:sz w:val="24"/>
          <w:highlight w:val="none"/>
          <w:lang w:eastAsia="zh-CN"/>
        </w:rPr>
        <w:t>，</w:t>
      </w:r>
      <w:r>
        <w:rPr>
          <w:rFonts w:hint="eastAsia" w:ascii="宋体" w:hAnsi="宋体" w:cs="宋体"/>
          <w:color w:val="auto"/>
          <w:kern w:val="0"/>
          <w:sz w:val="24"/>
          <w:szCs w:val="24"/>
          <w:highlight w:val="none"/>
        </w:rPr>
        <w:t>送交甲乙双方的监督单位各一份。</w:t>
      </w:r>
    </w:p>
    <w:p w14:paraId="74E0241D">
      <w:pPr>
        <w:spacing w:line="312" w:lineRule="auto"/>
        <w:ind w:firstLine="480" w:firstLineChars="200"/>
        <w:rPr>
          <w:color w:val="auto"/>
          <w:highlight w:val="none"/>
        </w:rPr>
      </w:pPr>
      <w:r>
        <w:rPr>
          <w:rFonts w:hint="eastAsia" w:ascii="宋体" w:hAnsi="宋体" w:cs="宋体"/>
          <w:color w:val="auto"/>
          <w:kern w:val="0"/>
          <w:sz w:val="24"/>
          <w:szCs w:val="24"/>
          <w:highlight w:val="none"/>
        </w:rPr>
        <w:t>（以下无正文）</w:t>
      </w:r>
    </w:p>
    <w:p w14:paraId="6629CBFC">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甲方：（盖章）　　　　　　　　　　    乙方：（盖章）</w:t>
      </w:r>
    </w:p>
    <w:p w14:paraId="73831DF6">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法定代表人                            法定代表人</w:t>
      </w:r>
    </w:p>
    <w:p w14:paraId="74601024">
      <w:pPr>
        <w:spacing w:line="312" w:lineRule="auto"/>
        <w:rPr>
          <w:rFonts w:ascii="宋体" w:hAnsi="宋体" w:cs="宋体"/>
          <w:color w:val="auto"/>
          <w:kern w:val="0"/>
          <w:sz w:val="24"/>
          <w:highlight w:val="none"/>
        </w:rPr>
      </w:pPr>
      <w:r>
        <w:rPr>
          <w:rFonts w:hint="eastAsia" w:ascii="宋体" w:hAnsi="宋体" w:cs="宋体"/>
          <w:color w:val="auto"/>
          <w:kern w:val="0"/>
          <w:sz w:val="24"/>
          <w:szCs w:val="24"/>
          <w:highlight w:val="none"/>
        </w:rPr>
        <w:t>或委托代理人：　　　　　　　　        或委托代理人：　　　　　</w:t>
      </w:r>
    </w:p>
    <w:p w14:paraId="1C288F31">
      <w:pPr>
        <w:spacing w:line="312" w:lineRule="auto"/>
        <w:ind w:left="5040" w:hanging="5040" w:hangingChars="2100"/>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地址：浙江省</w:t>
      </w:r>
      <w:r>
        <w:rPr>
          <w:rFonts w:hint="eastAsia" w:ascii="宋体" w:hAnsi="宋体" w:cs="宋体"/>
          <w:color w:val="auto"/>
          <w:kern w:val="0"/>
          <w:sz w:val="24"/>
          <w:szCs w:val="24"/>
          <w:highlight w:val="none"/>
          <w:lang w:val="en-US" w:eastAsia="zh-CN"/>
        </w:rPr>
        <w:t>丽水</w:t>
      </w:r>
      <w:r>
        <w:rPr>
          <w:rFonts w:hint="eastAsia" w:ascii="宋体" w:hAnsi="宋体" w:cs="宋体"/>
          <w:color w:val="auto"/>
          <w:kern w:val="0"/>
          <w:sz w:val="24"/>
          <w:szCs w:val="24"/>
          <w:highlight w:val="none"/>
        </w:rPr>
        <w:t>市</w:t>
      </w:r>
      <w:r>
        <w:rPr>
          <w:rFonts w:hint="eastAsia" w:ascii="宋体" w:hAnsi="宋体" w:cs="宋体"/>
          <w:color w:val="auto"/>
          <w:kern w:val="0"/>
          <w:sz w:val="24"/>
          <w:szCs w:val="24"/>
          <w:highlight w:val="none"/>
          <w:lang w:val="en-US" w:eastAsia="zh-CN"/>
        </w:rPr>
        <w:t>青田县</w:t>
      </w:r>
      <w:r>
        <w:rPr>
          <w:rFonts w:hint="eastAsia" w:ascii="宋体" w:hAnsi="宋体" w:cs="宋体"/>
          <w:color w:val="auto"/>
          <w:kern w:val="0"/>
          <w:sz w:val="24"/>
          <w:szCs w:val="24"/>
          <w:highlight w:val="none"/>
        </w:rPr>
        <w:t>　　　　　</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地址：</w:t>
      </w:r>
      <w:r>
        <w:rPr>
          <w:rFonts w:hint="eastAsia" w:ascii="Times New Roman" w:hAnsi="Times New Roman" w:eastAsia="宋体" w:cs="Times New Roman"/>
          <w:color w:val="auto"/>
          <w:sz w:val="24"/>
          <w:szCs w:val="24"/>
          <w:highlight w:val="none"/>
          <w:lang w:val="en-US" w:eastAsia="zh-CN"/>
        </w:rPr>
        <w:t xml:space="preserve">  </w:t>
      </w:r>
    </w:p>
    <w:p w14:paraId="69262766">
      <w:pPr>
        <w:spacing w:line="312" w:lineRule="auto"/>
        <w:rPr>
          <w:rFonts w:hint="default" w:ascii="宋体" w:hAnsi="宋体" w:cs="宋体"/>
          <w:color w:val="auto"/>
          <w:sz w:val="24"/>
          <w:highlight w:val="none"/>
          <w:lang w:val="en-US"/>
        </w:rPr>
      </w:pPr>
      <w:r>
        <w:rPr>
          <w:rFonts w:hint="eastAsia" w:ascii="宋体" w:hAnsi="宋体" w:cs="宋体"/>
          <w:color w:val="auto"/>
          <w:kern w:val="0"/>
          <w:sz w:val="24"/>
          <w:szCs w:val="24"/>
          <w:highlight w:val="none"/>
        </w:rPr>
        <w:t>电话：</w:t>
      </w: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　　　　　　　　　　 电话：</w:t>
      </w:r>
      <w:r>
        <w:rPr>
          <w:rFonts w:hint="eastAsia" w:ascii="宋体" w:hAnsi="宋体" w:cs="宋体"/>
          <w:color w:val="auto"/>
          <w:kern w:val="0"/>
          <w:sz w:val="24"/>
          <w:szCs w:val="24"/>
          <w:highlight w:val="none"/>
          <w:lang w:val="en-US" w:eastAsia="zh-CN"/>
        </w:rPr>
        <w:t xml:space="preserve"> </w:t>
      </w:r>
    </w:p>
    <w:p w14:paraId="1F42863B">
      <w:pPr>
        <w:rPr>
          <w:rFonts w:hint="eastAsia"/>
          <w:color w:val="auto"/>
          <w:highlight w:val="none"/>
        </w:rPr>
      </w:pPr>
      <w:r>
        <w:rPr>
          <w:rFonts w:hint="eastAsia" w:ascii="宋体" w:hAnsi="宋体" w:cs="宋体"/>
          <w:color w:val="auto"/>
          <w:sz w:val="24"/>
          <w:highlight w:val="none"/>
          <w:lang w:eastAsia="zh-CN"/>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 xml:space="preserve">年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月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日　　　　　　　　　　</w:t>
      </w:r>
      <w:r>
        <w:rPr>
          <w:rFonts w:hint="eastAsia" w:ascii="宋体" w:hAnsi="宋体" w:cs="宋体"/>
          <w:color w:val="auto"/>
          <w:sz w:val="24"/>
          <w:highlight w:val="none"/>
          <w:lang w:val="en-US" w:eastAsia="zh-CN"/>
        </w:rPr>
        <w:t>2026年</w:t>
      </w: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月</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日</w:t>
      </w:r>
    </w:p>
    <w:p w14:paraId="2524B7E7">
      <w:pPr>
        <w:pStyle w:val="2"/>
        <w:bidi w:val="0"/>
        <w:jc w:val="center"/>
        <w:rPr>
          <w:rFonts w:hint="eastAsia" w:ascii="Times New Roman" w:hAnsi="Times New Roman" w:eastAsia="宋体" w:cs="Times New Roman"/>
          <w:b/>
          <w:bCs/>
          <w:color w:val="auto"/>
          <w:highlight w:val="none"/>
        </w:rPr>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pPr>
    </w:p>
    <w:p w14:paraId="7D1BF769">
      <w:pPr>
        <w:pStyle w:val="2"/>
        <w:bidi w:val="0"/>
        <w:jc w:val="center"/>
        <w:rPr>
          <w:rFonts w:hint="eastAsia" w:cs="Times New Roman"/>
          <w:b/>
          <w:bCs/>
          <w:color w:val="auto"/>
          <w:highlight w:val="none"/>
          <w:lang w:val="en-US" w:eastAsia="zh-CN"/>
        </w:rPr>
      </w:pPr>
      <w:bookmarkStart w:id="200" w:name="_Toc11751"/>
      <w:bookmarkStart w:id="201" w:name="_Toc1396"/>
      <w:r>
        <w:rPr>
          <w:rFonts w:hint="eastAsia" w:ascii="Times New Roman" w:hAnsi="Times New Roman" w:eastAsia="宋体" w:cs="Times New Roman"/>
          <w:b/>
          <w:bCs/>
          <w:color w:val="auto"/>
          <w:highlight w:val="none"/>
        </w:rPr>
        <w:t>第五章 采购</w:t>
      </w:r>
      <w:bookmarkEnd w:id="200"/>
      <w:r>
        <w:rPr>
          <w:rFonts w:hint="eastAsia" w:cs="Times New Roman"/>
          <w:b/>
          <w:bCs/>
          <w:color w:val="auto"/>
          <w:highlight w:val="none"/>
          <w:lang w:val="en-US" w:eastAsia="zh-CN"/>
        </w:rPr>
        <w:t>需求</w:t>
      </w:r>
      <w:bookmarkEnd w:id="201"/>
    </w:p>
    <w:p w14:paraId="79384875">
      <w:pPr>
        <w:rPr>
          <w:color w:val="auto"/>
          <w:highlight w:val="none"/>
        </w:rPr>
      </w:pPr>
      <w:r>
        <w:rPr>
          <w:rFonts w:hint="eastAsia" w:cs="Times New Roman"/>
          <w:b/>
          <w:bCs/>
          <w:color w:val="auto"/>
          <w:highlight w:val="none"/>
          <w:lang w:val="en-US" w:eastAsia="zh-CN"/>
        </w:rPr>
        <w:t>一、采购清单</w:t>
      </w:r>
    </w:p>
    <w:tbl>
      <w:tblPr>
        <w:tblStyle w:val="4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2"/>
        <w:gridCol w:w="1344"/>
        <w:gridCol w:w="3611"/>
        <w:gridCol w:w="1380"/>
        <w:gridCol w:w="1318"/>
      </w:tblGrid>
      <w:tr w14:paraId="24D1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ign w:val="center"/>
          </w:tcPr>
          <w:p w14:paraId="275378CF">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788" w:type="pct"/>
            <w:tcBorders>
              <w:top w:val="single" w:color="000000" w:sz="4" w:space="0"/>
              <w:left w:val="single" w:color="000000" w:sz="4" w:space="0"/>
              <w:bottom w:val="single" w:color="000000" w:sz="4" w:space="0"/>
              <w:right w:val="single" w:color="000000" w:sz="4" w:space="0"/>
            </w:tcBorders>
            <w:noWrap/>
            <w:vAlign w:val="center"/>
          </w:tcPr>
          <w:p w14:paraId="6714847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2117" w:type="pct"/>
            <w:tcBorders>
              <w:top w:val="single" w:color="000000" w:sz="4" w:space="0"/>
              <w:left w:val="single" w:color="000000" w:sz="4" w:space="0"/>
              <w:bottom w:val="single" w:color="000000" w:sz="4" w:space="0"/>
              <w:right w:val="single" w:color="000000" w:sz="4" w:space="0"/>
            </w:tcBorders>
            <w:noWrap/>
            <w:vAlign w:val="center"/>
          </w:tcPr>
          <w:p w14:paraId="7E28442F">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5FF60B28">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773" w:type="pct"/>
            <w:tcBorders>
              <w:top w:val="single" w:color="000000" w:sz="4" w:space="0"/>
              <w:left w:val="single" w:color="000000" w:sz="4" w:space="0"/>
              <w:bottom w:val="single" w:color="000000" w:sz="4" w:space="0"/>
              <w:right w:val="single" w:color="000000" w:sz="4" w:space="0"/>
            </w:tcBorders>
            <w:noWrap/>
            <w:vAlign w:val="center"/>
          </w:tcPr>
          <w:p w14:paraId="62ECFA20">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r>
      <w:tr w14:paraId="1485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420CD21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EF5F1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CE12B3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5563E8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FDF23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2F9B7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580CF2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01478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85C0D2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116D4A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E1D26A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3F1B2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9AF50B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FED7C5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D984B2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6BD2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CEEECA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6ED21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C87F1EA">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BE637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9888A0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4148BC2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703C2E5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4FA92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18EDF13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6928E7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E8A616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35975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5C8D35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07E6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AC08CD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BD4D7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87F12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345F2D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350CE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5AE92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88DE18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6669EC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4FD7B3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9CAE16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0C3AC6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4B8A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449BB8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1ACEC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72CFB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169044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857C7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118D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852693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6EB1A7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906B4E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03461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0CFB7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15C83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630317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490C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E70DC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0D5B3E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ED7B5E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115C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34B9AA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DC99B9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0CF9BB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2EF3CE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1E1083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r>
      <w:tr w14:paraId="48307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F18B4A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AABD2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A2181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C25A24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126BEE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510E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996838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A96DF3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3DDEE5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383D8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494158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626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345198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8B5E7B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E87D26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3091C0C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FC9F50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22711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E4A600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950E01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1657F1A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BA3F0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BE43A1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3DCF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30E67DF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74230C7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06C850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2FC4C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2DA091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597C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2539E2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201F03C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8F1410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1305E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82E6A7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57757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ED0306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1793C7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5BD59D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2E52EB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47D24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527FE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216A3B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39E281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68C563F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A4419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20C512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48F7F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B66383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67F6A9C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71F23B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2DBE47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872E0E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0DFE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FC6D8D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1F88898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A21AE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692E92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06EF07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3042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2E8CD02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381E28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4CDE0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172CF55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300FD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104D9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1C33A48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26F7A1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745402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81FEEB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525775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047DD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6DE6D7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00214D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93529D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114997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1134894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4B2B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4A33372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776524F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341E52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29CAF14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08C968B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r w14:paraId="680FC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742A9ED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B61CBA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1F26066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0F05FA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6E3E5E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r>
      <w:tr w14:paraId="4478D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5855B15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3C5EE3F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2B7B968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47EBD94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5E0A506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r>
      <w:tr w14:paraId="0674B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6DED70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503C98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DCFD10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7F7F31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4E2C2DB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r>
      <w:tr w14:paraId="2A29C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11" w:type="pct"/>
            <w:tcBorders>
              <w:top w:val="single" w:color="000000" w:sz="4" w:space="0"/>
              <w:left w:val="single" w:color="000000" w:sz="4" w:space="0"/>
              <w:bottom w:val="single" w:color="000000" w:sz="4" w:space="0"/>
              <w:right w:val="single" w:color="000000" w:sz="4" w:space="0"/>
            </w:tcBorders>
            <w:noWrap w:val="0"/>
            <w:vAlign w:val="center"/>
          </w:tcPr>
          <w:p w14:paraId="08F4D386">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788" w:type="pct"/>
            <w:tcBorders>
              <w:top w:val="single" w:color="000000" w:sz="4" w:space="0"/>
              <w:left w:val="single" w:color="000000" w:sz="4" w:space="0"/>
              <w:bottom w:val="single" w:color="000000" w:sz="4" w:space="0"/>
              <w:right w:val="single" w:color="000000" w:sz="4" w:space="0"/>
            </w:tcBorders>
            <w:noWrap w:val="0"/>
            <w:vAlign w:val="center"/>
          </w:tcPr>
          <w:p w14:paraId="48CDDE4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2117" w:type="pct"/>
            <w:tcBorders>
              <w:top w:val="single" w:color="000000" w:sz="4" w:space="0"/>
              <w:left w:val="single" w:color="000000" w:sz="4" w:space="0"/>
              <w:bottom w:val="single" w:color="000000" w:sz="4" w:space="0"/>
              <w:right w:val="single" w:color="000000" w:sz="4" w:space="0"/>
            </w:tcBorders>
            <w:noWrap w:val="0"/>
            <w:vAlign w:val="center"/>
          </w:tcPr>
          <w:p w14:paraId="5FA98A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D7C872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3FC3801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r>
    </w:tbl>
    <w:p w14:paraId="277DA67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二、质量要求</w:t>
      </w:r>
    </w:p>
    <w:p w14:paraId="0936DAE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1、乙方货物质量应达到国家标准、行业标准、地方标准、乙方企业标准，且满足施工图的各项技术要求，若在本合同履行过程中遇到国家、行业、地方标准进行调整，则按照调整后的新标准执行。</w:t>
      </w:r>
    </w:p>
    <w:p w14:paraId="3EDCFF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2、乙方正式交货时货物的质量、外观、规格、型号、标识应与甲方现投入的标识牌质量、外观、规格、型号保持一致。</w:t>
      </w:r>
    </w:p>
    <w:p w14:paraId="3B280E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3、因货品质量、规格不符导致甲方无法正常使用、被第三方追责、产生返工 / 补发费用的，所有损失均由乙方承担，甲方有权从应付货款、保证金中直接抵扣。</w:t>
      </w:r>
    </w:p>
    <w:p w14:paraId="3B43EB2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4、质保期限：2年；</w:t>
      </w:r>
    </w:p>
    <w:p w14:paraId="0FA8D90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b/>
          <w:bCs/>
          <w:sz w:val="24"/>
          <w:szCs w:val="24"/>
          <w:highlight w:val="none"/>
          <w:lang w:val="en-US" w:eastAsia="zh-CN"/>
        </w:rPr>
      </w:pPr>
      <w:r>
        <w:rPr>
          <w:rFonts w:hint="eastAsia"/>
          <w:b/>
          <w:bCs/>
          <w:sz w:val="24"/>
          <w:szCs w:val="24"/>
          <w:highlight w:val="none"/>
          <w:lang w:val="en-US" w:eastAsia="zh-CN"/>
        </w:rPr>
        <w:t>三、供货要求</w:t>
      </w:r>
    </w:p>
    <w:p w14:paraId="5033E2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1、供货期: 12个月</w:t>
      </w:r>
    </w:p>
    <w:p w14:paraId="3CB1C09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2、交货方式：乙方根据甲方传真、邮件或电话指示交货。</w:t>
      </w:r>
    </w:p>
    <w:p w14:paraId="68BD73F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3、交货地点(工程所在地)： 浙江青田抽水蓄能电站项目筹建期工程设计-采购-施工总承包（EPC）施工现场 。</w:t>
      </w:r>
    </w:p>
    <w:p w14:paraId="0C6DB24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default"/>
          <w:sz w:val="24"/>
          <w:szCs w:val="24"/>
          <w:highlight w:val="none"/>
          <w:lang w:val="en-US" w:eastAsia="zh-CN"/>
        </w:rPr>
      </w:pPr>
      <w:r>
        <w:rPr>
          <w:rFonts w:hint="eastAsia"/>
          <w:sz w:val="24"/>
          <w:szCs w:val="24"/>
          <w:highlight w:val="none"/>
          <w:lang w:val="en-US" w:eastAsia="zh-CN"/>
        </w:rPr>
        <w:t>4、</w:t>
      </w:r>
      <w:r>
        <w:rPr>
          <w:rFonts w:hint="default"/>
          <w:sz w:val="24"/>
          <w:szCs w:val="24"/>
          <w:highlight w:val="none"/>
          <w:lang w:val="en-US" w:eastAsia="zh-CN"/>
        </w:rPr>
        <w:t>本项目现场各级检查频次较多，甲方根据现场整改、迎检需要，随时下达应急标识牌制作、供货、移位、加装、更换等工作指令，乙方须无条件配合甲方开展相关工作。乙方自收到甲方书面 / 微信 / 电话指令起12 小时内完成响应，按甲方要求落实现场勘查、备货生产、运输及现场安装移位等全部相关工作；因乙方备货不足、供货滞后、配合不到位等自身原因，致使甲方迎检不合格，被监理单位、建设单位或上级主管部门通报、责令整改、行政处罚的，由此产生的全部直接、间接经济损失（含罚款、整改费用、人工费用等）均由乙方全额承担；同时乙方单次另行向甲方支付违约金人民币50000 元，甲方有权从当期应付货款中直接扣除前述违约金及损失款项。</w:t>
      </w:r>
    </w:p>
    <w:p w14:paraId="1FEA1F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b/>
          <w:bCs/>
          <w:sz w:val="24"/>
          <w:szCs w:val="24"/>
          <w:highlight w:val="none"/>
          <w:lang w:val="en-US" w:eastAsia="zh-CN"/>
        </w:rPr>
      </w:pPr>
      <w:r>
        <w:rPr>
          <w:rFonts w:hint="eastAsia"/>
          <w:b/>
          <w:bCs/>
          <w:sz w:val="24"/>
          <w:szCs w:val="24"/>
          <w:highlight w:val="none"/>
          <w:lang w:val="en-US" w:eastAsia="zh-CN"/>
        </w:rPr>
        <w:t>四、验收</w:t>
      </w:r>
    </w:p>
    <w:p w14:paraId="1CF04F3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1、甲方按照质量要求标准及乙方提交的相关技术质量资料作为验收标准。</w:t>
      </w:r>
    </w:p>
    <w:p w14:paraId="56248AA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2、乙方交付货品的质量、外观、规格、型号、标识必须与甲方现有在用标识牌标准完全一致。首次交付不合格：甲方有权拒收整批货物，乙方立即向甲方支付违约金50000 元 / 次，并在3 个工作日内完成返工、重新交货。同一批次货品第二次交付仍不合格：除继续计收单次 50000 元违约金外，甲方有权扣除该批次全部货款，同时乙方需承担甲方因供货延误产生的一切损失。</w:t>
      </w:r>
    </w:p>
    <w:p w14:paraId="4A93C2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b/>
          <w:bCs/>
          <w:sz w:val="24"/>
          <w:szCs w:val="24"/>
          <w:highlight w:val="none"/>
          <w:lang w:val="en-US" w:eastAsia="zh-CN"/>
        </w:rPr>
      </w:pPr>
      <w:r>
        <w:rPr>
          <w:rFonts w:hint="eastAsia"/>
          <w:b/>
          <w:bCs/>
          <w:sz w:val="24"/>
          <w:szCs w:val="24"/>
          <w:highlight w:val="none"/>
          <w:lang w:val="en-US" w:eastAsia="zh-CN"/>
        </w:rPr>
        <w:t>五、其他要求</w:t>
      </w:r>
    </w:p>
    <w:p w14:paraId="765DB8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sz w:val="24"/>
          <w:szCs w:val="24"/>
          <w:highlight w:val="none"/>
          <w:lang w:val="en-US" w:eastAsia="zh-CN"/>
        </w:rPr>
      </w:pPr>
      <w:r>
        <w:rPr>
          <w:rFonts w:hint="eastAsia"/>
          <w:sz w:val="24"/>
          <w:szCs w:val="24"/>
          <w:highlight w:val="none"/>
          <w:lang w:val="en-US" w:eastAsia="zh-CN"/>
        </w:rPr>
        <w:t>第五章采购清单载明的货物名称、规格型号、用材参数、数量及计量单位，为本项目供货、验收及结算的强制性技术基准，供应商须逐项响应并作为履约依据。为统一外观样式，采购人以"项目现场已安装实物样品"作为样式参考，各响应人须自行安排人员赴项目现场实地踏勘，自行核实项目现场已安装实物样品样式，响应人未踏勘现场而导致报价缺项、技术方案与现场不符、供货产品无法匹配现场实物的，所有不利后果及经济损失由响应人自行负责。</w:t>
      </w:r>
    </w:p>
    <w:bookmarkEnd w:id="175"/>
    <w:bookmarkEnd w:id="176"/>
    <w:bookmarkEnd w:id="177"/>
    <w:bookmarkEnd w:id="178"/>
    <w:bookmarkEnd w:id="179"/>
    <w:bookmarkEnd w:id="180"/>
    <w:bookmarkEnd w:id="186"/>
    <w:bookmarkEnd w:id="187"/>
    <w:bookmarkEnd w:id="188"/>
    <w:bookmarkEnd w:id="189"/>
    <w:bookmarkEnd w:id="190"/>
    <w:p w14:paraId="3E739242">
      <w:pPr>
        <w:rPr>
          <w:rFonts w:hint="eastAsia"/>
          <w:color w:val="auto"/>
          <w:highlight w:val="none"/>
        </w:rPr>
      </w:pPr>
      <w:bookmarkStart w:id="202" w:name="_Toc16136"/>
      <w:bookmarkStart w:id="203" w:name="_Toc19083"/>
      <w:r>
        <w:rPr>
          <w:rFonts w:hint="eastAsia"/>
          <w:color w:val="auto"/>
          <w:highlight w:val="none"/>
        </w:rPr>
        <w:br w:type="page"/>
      </w:r>
    </w:p>
    <w:p w14:paraId="11971C59">
      <w:pPr>
        <w:pStyle w:val="2"/>
        <w:bidi w:val="0"/>
        <w:jc w:val="center"/>
        <w:rPr>
          <w:color w:val="auto"/>
          <w:highlight w:val="none"/>
        </w:rPr>
      </w:pPr>
      <w:bookmarkStart w:id="204" w:name="_Toc16935"/>
      <w:r>
        <w:rPr>
          <w:rFonts w:hint="eastAsia"/>
          <w:color w:val="auto"/>
          <w:highlight w:val="none"/>
        </w:rPr>
        <w:t>第六章 响应文件格式</w:t>
      </w:r>
      <w:bookmarkEnd w:id="202"/>
      <w:bookmarkEnd w:id="203"/>
      <w:bookmarkEnd w:id="204"/>
    </w:p>
    <w:p w14:paraId="2DF3A136">
      <w:pPr>
        <w:pStyle w:val="24"/>
        <w:spacing w:line="500" w:lineRule="exact"/>
        <w:jc w:val="left"/>
        <w:outlineLvl w:val="1"/>
        <w:rPr>
          <w:rFonts w:hint="eastAsia"/>
          <w:b/>
          <w:bCs/>
          <w:color w:val="auto"/>
          <w:sz w:val="24"/>
          <w:szCs w:val="24"/>
          <w:highlight w:val="none"/>
        </w:rPr>
      </w:pPr>
      <w:bookmarkStart w:id="205" w:name="_Toc478767846"/>
      <w:bookmarkStart w:id="206" w:name="_Toc486846296"/>
      <w:bookmarkStart w:id="207" w:name="_Toc27883"/>
      <w:bookmarkStart w:id="208" w:name="_Toc486862599"/>
      <w:bookmarkStart w:id="209" w:name="_Toc486863757"/>
      <w:bookmarkStart w:id="210" w:name="_Toc486863385"/>
      <w:bookmarkStart w:id="211" w:name="_Toc91764963"/>
      <w:bookmarkStart w:id="212" w:name="_Toc287"/>
      <w:bookmarkStart w:id="213" w:name="_Toc486844994"/>
      <w:bookmarkStart w:id="214" w:name="_Toc492973982"/>
      <w:bookmarkStart w:id="215" w:name="_Toc492974503"/>
      <w:bookmarkStart w:id="216" w:name="_Toc486846343"/>
      <w:bookmarkStart w:id="217" w:name="_Toc492975770"/>
      <w:bookmarkStart w:id="218" w:name="_Toc486845839"/>
      <w:bookmarkStart w:id="219" w:name="_Toc486844891"/>
      <w:bookmarkStart w:id="220" w:name="_Toc23612"/>
      <w:bookmarkStart w:id="221" w:name="_Toc486846399"/>
      <w:bookmarkStart w:id="222" w:name="_Toc18915"/>
      <w:bookmarkStart w:id="223" w:name="_Toc493059514"/>
      <w:r>
        <w:rPr>
          <w:rFonts w:hint="eastAsia"/>
          <w:b/>
          <w:bCs/>
          <w:color w:val="auto"/>
          <w:sz w:val="24"/>
          <w:szCs w:val="24"/>
          <w:highlight w:val="none"/>
        </w:rPr>
        <w:t>格式1：封面</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2B426FF3">
      <w:pPr>
        <w:pStyle w:val="24"/>
        <w:spacing w:line="500" w:lineRule="exact"/>
        <w:jc w:val="left"/>
        <w:rPr>
          <w:b/>
          <w:bCs/>
          <w:color w:val="auto"/>
          <w:sz w:val="24"/>
          <w:szCs w:val="24"/>
          <w:highlight w:val="none"/>
        </w:rPr>
      </w:pPr>
    </w:p>
    <w:p w14:paraId="69576364">
      <w:pPr>
        <w:widowControl/>
        <w:jc w:val="center"/>
        <w:rPr>
          <w:rFonts w:hint="eastAsia" w:ascii="宋体" w:hAnsi="宋体"/>
          <w:b/>
          <w:bCs/>
          <w:color w:val="auto"/>
          <w:kern w:val="0"/>
          <w:sz w:val="44"/>
          <w:szCs w:val="44"/>
          <w:highlight w:val="none"/>
        </w:rPr>
      </w:pPr>
    </w:p>
    <w:p w14:paraId="7EDF2DA1">
      <w:pPr>
        <w:jc w:val="center"/>
        <w:rPr>
          <w:b/>
          <w:bCs/>
          <w:color w:val="auto"/>
          <w:sz w:val="44"/>
          <w:szCs w:val="44"/>
          <w:highlight w:val="none"/>
        </w:rPr>
      </w:pPr>
      <w:r>
        <w:rPr>
          <w:rFonts w:hint="eastAsia" w:ascii="宋体" w:hAnsi="宋体"/>
          <w:b/>
          <w:bCs/>
          <w:color w:val="auto"/>
          <w:sz w:val="44"/>
          <w:szCs w:val="44"/>
          <w:highlight w:val="none"/>
        </w:rPr>
        <w:t>响应文件</w:t>
      </w:r>
    </w:p>
    <w:p w14:paraId="55F4D10E">
      <w:pPr>
        <w:jc w:val="center"/>
        <w:rPr>
          <w:b/>
          <w:bCs/>
          <w:color w:val="auto"/>
          <w:sz w:val="44"/>
          <w:szCs w:val="44"/>
          <w:highlight w:val="none"/>
        </w:rPr>
      </w:pPr>
      <w:r>
        <w:rPr>
          <w:rFonts w:hint="eastAsia" w:ascii="宋体" w:hAnsi="宋体"/>
          <w:b/>
          <w:bCs/>
          <w:color w:val="auto"/>
          <w:sz w:val="36"/>
          <w:szCs w:val="36"/>
          <w:highlight w:val="none"/>
        </w:rPr>
        <w:t>（封面）</w:t>
      </w:r>
    </w:p>
    <w:p w14:paraId="60031736">
      <w:pPr>
        <w:widowControl/>
        <w:jc w:val="center"/>
        <w:rPr>
          <w:b/>
          <w:bCs/>
          <w:color w:val="auto"/>
          <w:kern w:val="0"/>
          <w:sz w:val="36"/>
          <w:szCs w:val="36"/>
          <w:highlight w:val="none"/>
        </w:rPr>
      </w:pPr>
    </w:p>
    <w:p w14:paraId="22B0A79E">
      <w:pPr>
        <w:widowControl/>
        <w:rPr>
          <w:rFonts w:hint="eastAsia"/>
          <w:color w:val="auto"/>
          <w:kern w:val="0"/>
          <w:szCs w:val="21"/>
          <w:highlight w:val="none"/>
        </w:rPr>
      </w:pPr>
      <w:r>
        <w:rPr>
          <w:color w:val="auto"/>
          <w:kern w:val="0"/>
          <w:szCs w:val="21"/>
          <w:highlight w:val="none"/>
        </w:rPr>
        <w:t xml:space="preserve"> </w:t>
      </w:r>
    </w:p>
    <w:p w14:paraId="2F2908CD">
      <w:pPr>
        <w:widowControl/>
        <w:spacing w:line="480" w:lineRule="auto"/>
        <w:rPr>
          <w:color w:val="auto"/>
          <w:kern w:val="0"/>
          <w:szCs w:val="21"/>
          <w:highlight w:val="none"/>
        </w:rPr>
      </w:pPr>
    </w:p>
    <w:p w14:paraId="137FB341">
      <w:pPr>
        <w:widowControl/>
        <w:spacing w:line="60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00150DC5">
      <w:pPr>
        <w:widowControl/>
        <w:spacing w:line="600" w:lineRule="auto"/>
        <w:rPr>
          <w:rFonts w:hint="eastAsia"/>
          <w:color w:val="auto"/>
          <w:kern w:val="0"/>
          <w:sz w:val="32"/>
          <w:szCs w:val="32"/>
          <w:highlight w:val="none"/>
          <w:u w:val="single"/>
        </w:rPr>
      </w:pPr>
    </w:p>
    <w:p w14:paraId="74358247">
      <w:pPr>
        <w:widowControl/>
        <w:spacing w:line="600" w:lineRule="auto"/>
        <w:rPr>
          <w:color w:val="auto"/>
          <w:kern w:val="0"/>
          <w:sz w:val="32"/>
          <w:szCs w:val="32"/>
          <w:highlight w:val="none"/>
          <w:u w:val="single"/>
        </w:rPr>
      </w:pPr>
      <w:r>
        <w:rPr>
          <w:rFonts w:hint="eastAsia"/>
          <w:color w:val="auto"/>
          <w:kern w:val="0"/>
          <w:sz w:val="32"/>
          <w:szCs w:val="32"/>
          <w:highlight w:val="none"/>
          <w:lang w:val="en-US" w:eastAsia="zh-CN"/>
        </w:rPr>
        <w:t>采购</w:t>
      </w:r>
      <w:r>
        <w:rPr>
          <w:rFonts w:hint="eastAsia"/>
          <w:color w:val="auto"/>
          <w:kern w:val="0"/>
          <w:sz w:val="32"/>
          <w:szCs w:val="32"/>
          <w:highlight w:val="none"/>
        </w:rPr>
        <w:t xml:space="preserve">编号: </w:t>
      </w:r>
      <w:r>
        <w:rPr>
          <w:rFonts w:hint="eastAsia"/>
          <w:color w:val="auto"/>
          <w:kern w:val="0"/>
          <w:sz w:val="32"/>
          <w:szCs w:val="32"/>
          <w:highlight w:val="none"/>
          <w:u w:val="single"/>
        </w:rPr>
        <w:t xml:space="preserve">                                           </w:t>
      </w:r>
    </w:p>
    <w:p w14:paraId="5C5EB871">
      <w:pPr>
        <w:widowControl/>
        <w:spacing w:line="600" w:lineRule="auto"/>
        <w:rPr>
          <w:color w:val="auto"/>
          <w:kern w:val="0"/>
          <w:sz w:val="32"/>
          <w:szCs w:val="32"/>
          <w:highlight w:val="none"/>
        </w:rPr>
      </w:pPr>
      <w:r>
        <w:rPr>
          <w:color w:val="auto"/>
          <w:kern w:val="0"/>
          <w:sz w:val="32"/>
          <w:szCs w:val="32"/>
          <w:highlight w:val="none"/>
        </w:rPr>
        <w:t xml:space="preserve">  </w:t>
      </w:r>
    </w:p>
    <w:p w14:paraId="53A1D2C1">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76EF5C2E">
      <w:pPr>
        <w:widowControl/>
        <w:spacing w:line="600" w:lineRule="auto"/>
        <w:rPr>
          <w:color w:val="auto"/>
          <w:kern w:val="0"/>
          <w:sz w:val="32"/>
          <w:szCs w:val="32"/>
          <w:highlight w:val="none"/>
        </w:rPr>
      </w:pPr>
    </w:p>
    <w:p w14:paraId="4C09ADD2">
      <w:pPr>
        <w:widowControl/>
        <w:spacing w:line="60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w:t>
      </w:r>
      <w:r>
        <w:rPr>
          <w:rFonts w:hint="eastAsia" w:ascii="宋体" w:hAnsi="宋体"/>
          <w:color w:val="auto"/>
          <w:kern w:val="0"/>
          <w:sz w:val="32"/>
          <w:szCs w:val="32"/>
          <w:highlight w:val="none"/>
          <w:u w:val="single"/>
          <w:lang w:val="en-US" w:eastAsia="zh-CN"/>
        </w:rPr>
        <w:t>或盖章</w:t>
      </w:r>
      <w:r>
        <w:rPr>
          <w:rFonts w:hint="eastAsia" w:ascii="宋体" w:hAnsi="宋体"/>
          <w:color w:val="auto"/>
          <w:kern w:val="0"/>
          <w:sz w:val="32"/>
          <w:szCs w:val="32"/>
          <w:highlight w:val="none"/>
          <w:u w:val="single"/>
        </w:rPr>
        <w:t>）</w:t>
      </w:r>
      <w:r>
        <w:rPr>
          <w:color w:val="auto"/>
          <w:kern w:val="0"/>
          <w:sz w:val="32"/>
          <w:szCs w:val="32"/>
          <w:highlight w:val="none"/>
          <w:u w:val="single"/>
        </w:rPr>
        <w:t xml:space="preserve">        </w:t>
      </w:r>
    </w:p>
    <w:p w14:paraId="518190EF">
      <w:pPr>
        <w:widowControl/>
        <w:spacing w:line="600" w:lineRule="auto"/>
        <w:rPr>
          <w:rFonts w:hint="eastAsia"/>
          <w:color w:val="auto"/>
          <w:kern w:val="0"/>
          <w:sz w:val="32"/>
          <w:szCs w:val="32"/>
          <w:highlight w:val="none"/>
        </w:rPr>
      </w:pPr>
      <w:r>
        <w:rPr>
          <w:color w:val="auto"/>
          <w:kern w:val="0"/>
          <w:sz w:val="32"/>
          <w:szCs w:val="32"/>
          <w:highlight w:val="none"/>
        </w:rPr>
        <w:t xml:space="preserve"> </w:t>
      </w:r>
    </w:p>
    <w:p w14:paraId="0F37F52D">
      <w:pPr>
        <w:widowControl/>
        <w:spacing w:line="600" w:lineRule="auto"/>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0C478BBA">
      <w:pPr>
        <w:pStyle w:val="24"/>
        <w:spacing w:line="600" w:lineRule="auto"/>
        <w:jc w:val="left"/>
        <w:outlineLvl w:val="1"/>
        <w:rPr>
          <w:rFonts w:hint="eastAsia"/>
          <w:b/>
          <w:bCs/>
          <w:color w:val="auto"/>
          <w:sz w:val="24"/>
          <w:szCs w:val="24"/>
          <w:highlight w:val="none"/>
        </w:rPr>
      </w:pPr>
      <w:r>
        <w:rPr>
          <w:rFonts w:hAnsi="宋体"/>
          <w:color w:val="auto"/>
          <w:sz w:val="24"/>
          <w:szCs w:val="24"/>
          <w:highlight w:val="none"/>
        </w:rPr>
        <w:br w:type="page"/>
      </w:r>
      <w:bookmarkStart w:id="224" w:name="_Toc492975771"/>
      <w:bookmarkStart w:id="225" w:name="_Toc486863386"/>
      <w:bookmarkStart w:id="226" w:name="_Toc492973983"/>
      <w:bookmarkStart w:id="227" w:name="_Toc486846344"/>
      <w:bookmarkStart w:id="228" w:name="_Toc486846297"/>
      <w:bookmarkStart w:id="229" w:name="_Toc486844995"/>
      <w:bookmarkStart w:id="230" w:name="_Toc486863758"/>
      <w:bookmarkStart w:id="231" w:name="_Toc478767847"/>
      <w:bookmarkStart w:id="232" w:name="_Toc485637792"/>
      <w:bookmarkStart w:id="233" w:name="_Toc486844892"/>
      <w:bookmarkStart w:id="234" w:name="_Toc493059515"/>
      <w:bookmarkStart w:id="235" w:name="_Toc486846400"/>
      <w:bookmarkStart w:id="236" w:name="_Toc492974504"/>
      <w:bookmarkStart w:id="237" w:name="_Toc485648637"/>
      <w:bookmarkStart w:id="238" w:name="_Toc486845840"/>
      <w:bookmarkStart w:id="239" w:name="_Toc486862600"/>
      <w:bookmarkStart w:id="240" w:name="_Toc91764964"/>
      <w:bookmarkStart w:id="241" w:name="_Toc12653"/>
      <w:bookmarkStart w:id="242" w:name="_Toc21725"/>
      <w:bookmarkStart w:id="243" w:name="_Toc30552"/>
      <w:bookmarkStart w:id="244" w:name="_Toc26279"/>
      <w:r>
        <w:rPr>
          <w:rFonts w:hint="eastAsia"/>
          <w:b/>
          <w:bCs/>
          <w:color w:val="auto"/>
          <w:sz w:val="24"/>
          <w:szCs w:val="24"/>
          <w:highlight w:val="none"/>
        </w:rPr>
        <w:t>格式2：</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Start w:id="245" w:name="_Toc510383832"/>
      <w:bookmarkStart w:id="246" w:name="_Toc485648641"/>
      <w:bookmarkStart w:id="247" w:name="_Toc478767851"/>
      <w:bookmarkStart w:id="248" w:name="_Toc485637796"/>
      <w:r>
        <w:rPr>
          <w:rFonts w:hint="eastAsia"/>
          <w:b/>
          <w:bCs/>
          <w:color w:val="auto"/>
          <w:sz w:val="24"/>
          <w:szCs w:val="24"/>
          <w:highlight w:val="none"/>
        </w:rPr>
        <w:t>法定代表人身份证明（适用于无委托代理人的情况）</w:t>
      </w:r>
      <w:bookmarkEnd w:id="240"/>
      <w:bookmarkEnd w:id="241"/>
      <w:bookmarkEnd w:id="242"/>
      <w:bookmarkEnd w:id="243"/>
      <w:bookmarkEnd w:id="244"/>
      <w:bookmarkEnd w:id="245"/>
    </w:p>
    <w:p w14:paraId="59A48BCB">
      <w:pPr>
        <w:pStyle w:val="24"/>
        <w:spacing w:line="500" w:lineRule="exact"/>
        <w:jc w:val="left"/>
        <w:rPr>
          <w:rFonts w:hint="eastAsia" w:hAnsi="宋体"/>
          <w:b/>
          <w:color w:val="auto"/>
          <w:sz w:val="24"/>
          <w:szCs w:val="24"/>
          <w:highlight w:val="none"/>
        </w:rPr>
      </w:pPr>
    </w:p>
    <w:p w14:paraId="79BD72B1">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3422609D">
      <w:pPr>
        <w:spacing w:line="500" w:lineRule="exact"/>
        <w:ind w:firstLine="480" w:firstLineChars="200"/>
        <w:rPr>
          <w:rFonts w:ascii="宋体" w:hAnsi="宋体" w:cs="宋体"/>
          <w:color w:val="auto"/>
          <w:sz w:val="24"/>
          <w:szCs w:val="24"/>
          <w:highlight w:val="none"/>
        </w:rPr>
      </w:pPr>
    </w:p>
    <w:p w14:paraId="58F83E5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3BF8D47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19636071">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070B97FD">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1E4953E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785DAC3D">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2CA605B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0DCB6D61">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12B13B40">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6CF3BF3B">
      <w:pPr>
        <w:spacing w:line="400" w:lineRule="exact"/>
        <w:rPr>
          <w:rFonts w:ascii="宋体" w:hAnsi="宋体" w:cs="宋体"/>
          <w:color w:val="auto"/>
          <w:sz w:val="24"/>
          <w:szCs w:val="24"/>
          <w:highlight w:val="none"/>
        </w:rPr>
      </w:pPr>
    </w:p>
    <w:p w14:paraId="4B1C32DE">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5C9A1529">
      <w:pPr>
        <w:spacing w:line="400" w:lineRule="exact"/>
        <w:rPr>
          <w:rFonts w:hint="eastAsia" w:ascii="宋体" w:hAnsi="宋体" w:cs="宋体"/>
          <w:color w:val="auto"/>
          <w:sz w:val="24"/>
          <w:szCs w:val="24"/>
          <w:highlight w:val="none"/>
        </w:rPr>
      </w:pPr>
    </w:p>
    <w:p w14:paraId="2B711AFD">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1E6FBC97">
      <w:pPr>
        <w:spacing w:line="400" w:lineRule="exact"/>
        <w:rPr>
          <w:rFonts w:ascii="宋体" w:hAnsi="宋体" w:cs="宋体"/>
          <w:color w:val="auto"/>
          <w:sz w:val="24"/>
          <w:szCs w:val="24"/>
          <w:highlight w:val="none"/>
        </w:rPr>
      </w:pPr>
    </w:p>
    <w:p w14:paraId="633E1002">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3253EF33">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067CFCC3">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176FC53D">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30A65090">
            <w:pPr>
              <w:adjustRightInd w:val="0"/>
              <w:snapToGrid w:val="0"/>
              <w:spacing w:line="400" w:lineRule="exact"/>
              <w:ind w:firstLine="210"/>
              <w:jc w:val="center"/>
              <w:rPr>
                <w:rFonts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7D0E1D14">
            <w:pPr>
              <w:adjustRightInd w:val="0"/>
              <w:snapToGrid w:val="0"/>
              <w:spacing w:line="400" w:lineRule="exact"/>
              <w:ind w:left="5250" w:firstLine="480" w:firstLineChars="200"/>
              <w:rPr>
                <w:rFonts w:ascii="宋体" w:hAnsi="宋体" w:cs="宋体"/>
                <w:color w:val="auto"/>
                <w:sz w:val="24"/>
                <w:szCs w:val="24"/>
                <w:highlight w:val="none"/>
              </w:rPr>
            </w:pPr>
          </w:p>
          <w:p w14:paraId="5DCBE40C">
            <w:pPr>
              <w:adjustRightInd w:val="0"/>
              <w:snapToGrid w:val="0"/>
              <w:spacing w:line="400" w:lineRule="exact"/>
              <w:ind w:left="5250" w:firstLine="480" w:firstLineChars="200"/>
              <w:rPr>
                <w:rFonts w:ascii="宋体" w:hAnsi="宋体" w:cs="宋体"/>
                <w:color w:val="auto"/>
                <w:sz w:val="24"/>
                <w:szCs w:val="24"/>
                <w:highlight w:val="none"/>
              </w:rPr>
            </w:pPr>
          </w:p>
          <w:p w14:paraId="652DE19F">
            <w:pPr>
              <w:adjustRightInd w:val="0"/>
              <w:snapToGrid w:val="0"/>
              <w:spacing w:line="400" w:lineRule="exact"/>
              <w:ind w:left="5250" w:firstLine="480" w:firstLineChars="200"/>
              <w:rPr>
                <w:rFonts w:ascii="宋体" w:hAnsi="宋体" w:cs="宋体"/>
                <w:color w:val="auto"/>
                <w:sz w:val="24"/>
                <w:szCs w:val="24"/>
                <w:highlight w:val="none"/>
              </w:rPr>
            </w:pPr>
          </w:p>
          <w:p w14:paraId="7AF3F7D1">
            <w:pPr>
              <w:adjustRightInd w:val="0"/>
              <w:snapToGrid w:val="0"/>
              <w:spacing w:line="400" w:lineRule="exact"/>
              <w:ind w:left="5250" w:firstLine="480" w:firstLineChars="200"/>
              <w:rPr>
                <w:rFonts w:ascii="宋体" w:hAnsi="宋体" w:cs="宋体"/>
                <w:color w:val="auto"/>
                <w:sz w:val="24"/>
                <w:szCs w:val="24"/>
                <w:highlight w:val="none"/>
              </w:rPr>
            </w:pPr>
          </w:p>
          <w:p w14:paraId="396AE229">
            <w:pPr>
              <w:adjustRightInd w:val="0"/>
              <w:snapToGrid w:val="0"/>
              <w:spacing w:line="400" w:lineRule="exact"/>
              <w:ind w:left="5250" w:firstLine="480" w:firstLineChars="200"/>
              <w:rPr>
                <w:rFonts w:ascii="宋体" w:hAnsi="宋体" w:cs="宋体"/>
                <w:color w:val="auto"/>
                <w:sz w:val="24"/>
                <w:szCs w:val="24"/>
                <w:highlight w:val="none"/>
              </w:rPr>
            </w:pPr>
          </w:p>
          <w:p w14:paraId="22F0C63B">
            <w:pPr>
              <w:adjustRightInd w:val="0"/>
              <w:snapToGrid w:val="0"/>
              <w:spacing w:line="400" w:lineRule="exact"/>
              <w:ind w:left="5250" w:firstLine="480" w:firstLineChars="200"/>
              <w:rPr>
                <w:rFonts w:ascii="宋体" w:hAnsi="宋体" w:cs="宋体"/>
                <w:color w:val="auto"/>
                <w:sz w:val="24"/>
                <w:szCs w:val="24"/>
                <w:highlight w:val="none"/>
              </w:rPr>
            </w:pPr>
          </w:p>
        </w:tc>
      </w:tr>
    </w:tbl>
    <w:p w14:paraId="5FC506D5">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241F22FD">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49" w:name="_Toc492974505"/>
      <w:bookmarkStart w:id="250" w:name="_Toc486844893"/>
      <w:bookmarkStart w:id="251" w:name="_Toc493059516"/>
      <w:bookmarkStart w:id="252" w:name="_Toc492975772"/>
      <w:bookmarkStart w:id="253" w:name="_Toc486846401"/>
      <w:bookmarkStart w:id="254" w:name="_Toc486862601"/>
      <w:bookmarkStart w:id="255" w:name="_Toc486845841"/>
      <w:bookmarkStart w:id="256" w:name="_Toc492973984"/>
      <w:bookmarkStart w:id="257" w:name="_Toc478767848"/>
      <w:bookmarkStart w:id="258" w:name="_Toc485637793"/>
      <w:bookmarkStart w:id="259" w:name="_Toc486846345"/>
      <w:bookmarkStart w:id="260" w:name="_Toc486863387"/>
      <w:bookmarkStart w:id="261" w:name="_Toc486846298"/>
      <w:bookmarkStart w:id="262" w:name="_Toc486844996"/>
      <w:bookmarkStart w:id="263" w:name="_Toc485648638"/>
      <w:bookmarkStart w:id="264" w:name="_Toc486863759"/>
      <w:bookmarkStart w:id="265" w:name="_Toc25318"/>
      <w:bookmarkStart w:id="266" w:name="_Toc7662"/>
      <w:bookmarkStart w:id="267" w:name="_Toc18403"/>
      <w:bookmarkStart w:id="268" w:name="_Toc8988"/>
      <w:bookmarkStart w:id="269" w:name="_Toc91764965"/>
      <w:bookmarkStart w:id="270" w:name="_Toc510383833"/>
      <w:r>
        <w:rPr>
          <w:rFonts w:hint="eastAsia"/>
          <w:b/>
          <w:bCs/>
          <w:color w:val="auto"/>
          <w:sz w:val="24"/>
          <w:szCs w:val="24"/>
          <w:highlight w:val="none"/>
        </w:rPr>
        <w:t>格式3：授权委托书</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b/>
          <w:bCs/>
          <w:color w:val="auto"/>
          <w:sz w:val="24"/>
          <w:szCs w:val="24"/>
          <w:highlight w:val="none"/>
        </w:rPr>
        <w:t>（适用于有委托代理人情况）</w:t>
      </w:r>
      <w:bookmarkEnd w:id="265"/>
      <w:bookmarkEnd w:id="266"/>
      <w:bookmarkEnd w:id="267"/>
      <w:bookmarkEnd w:id="268"/>
      <w:bookmarkEnd w:id="269"/>
      <w:bookmarkEnd w:id="270"/>
    </w:p>
    <w:p w14:paraId="282DCA13">
      <w:pPr>
        <w:pStyle w:val="24"/>
        <w:spacing w:line="500" w:lineRule="exact"/>
        <w:jc w:val="left"/>
        <w:rPr>
          <w:rFonts w:hint="eastAsia" w:hAnsi="宋体"/>
          <w:b/>
          <w:color w:val="auto"/>
          <w:sz w:val="24"/>
          <w:szCs w:val="24"/>
          <w:highlight w:val="none"/>
        </w:rPr>
      </w:pPr>
    </w:p>
    <w:p w14:paraId="185DACD2">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16F62BD8">
      <w:pPr>
        <w:rPr>
          <w:rFonts w:ascii="宋体" w:hAnsi="宋体" w:cs="宋体"/>
          <w:color w:val="auto"/>
          <w:kern w:val="44"/>
          <w:sz w:val="24"/>
          <w:szCs w:val="24"/>
          <w:highlight w:val="none"/>
        </w:rPr>
      </w:pPr>
    </w:p>
    <w:p w14:paraId="32C45C9B">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lang w:val="en-US" w:eastAsia="zh-CN"/>
        </w:rPr>
        <w:t>采购</w:t>
      </w:r>
      <w:r>
        <w:rPr>
          <w:rFonts w:hint="eastAsia" w:ascii="宋体" w:hAnsi="宋体" w:cs="宋体"/>
          <w:color w:val="auto"/>
          <w:sz w:val="24"/>
          <w:szCs w:val="24"/>
          <w:highlight w:val="none"/>
        </w:rPr>
        <w:t>编号）的响应文件、签订合同和处理有关事宜，其法律后果由我方承担。</w:t>
      </w:r>
    </w:p>
    <w:p w14:paraId="49764401">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52B2EC28">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76783492">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5B6A4CF5">
      <w:pPr>
        <w:spacing w:line="400" w:lineRule="exact"/>
        <w:rPr>
          <w:rFonts w:ascii="宋体" w:hAnsi="宋体" w:cs="宋体"/>
          <w:color w:val="auto"/>
          <w:sz w:val="24"/>
          <w:szCs w:val="24"/>
          <w:highlight w:val="none"/>
        </w:rPr>
      </w:pPr>
    </w:p>
    <w:p w14:paraId="2AF766AE">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36A4B11B">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p>
    <w:p w14:paraId="7A9C5391">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FFBEE18">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616AC4E9">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43B149F">
      <w:pPr>
        <w:spacing w:line="400" w:lineRule="exact"/>
        <w:ind w:firstLine="5040" w:firstLineChars="2100"/>
        <w:rPr>
          <w:rFonts w:hint="eastAsia"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6352C9AE">
      <w:pPr>
        <w:pStyle w:val="17"/>
        <w:rPr>
          <w:color w:val="auto"/>
          <w:highlight w:val="none"/>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22655CDE">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2B0C52EA">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39E9EDBD">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w:t>
            </w:r>
          </w:p>
          <w:p w14:paraId="39DA3599">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535E442A">
            <w:pPr>
              <w:adjustRightInd w:val="0"/>
              <w:snapToGrid w:val="0"/>
              <w:spacing w:line="400" w:lineRule="exact"/>
              <w:ind w:left="5250" w:firstLine="480" w:firstLineChars="200"/>
              <w:rPr>
                <w:rFonts w:ascii="宋体" w:hAnsi="宋体" w:cs="宋体"/>
                <w:color w:val="auto"/>
                <w:sz w:val="24"/>
                <w:szCs w:val="24"/>
                <w:highlight w:val="none"/>
              </w:rPr>
            </w:pPr>
          </w:p>
          <w:p w14:paraId="2F40A247">
            <w:pPr>
              <w:adjustRightInd w:val="0"/>
              <w:snapToGrid w:val="0"/>
              <w:spacing w:line="400" w:lineRule="exact"/>
              <w:ind w:left="5250" w:firstLine="480" w:firstLineChars="200"/>
              <w:rPr>
                <w:rFonts w:ascii="宋体" w:hAnsi="宋体" w:cs="宋体"/>
                <w:color w:val="auto"/>
                <w:sz w:val="24"/>
                <w:szCs w:val="24"/>
                <w:highlight w:val="none"/>
              </w:rPr>
            </w:pPr>
          </w:p>
          <w:p w14:paraId="5BABAD7E">
            <w:pPr>
              <w:adjustRightInd w:val="0"/>
              <w:snapToGrid w:val="0"/>
              <w:spacing w:line="400" w:lineRule="exact"/>
              <w:ind w:left="5250" w:firstLine="480" w:firstLineChars="200"/>
              <w:rPr>
                <w:rFonts w:ascii="宋体" w:hAnsi="宋体" w:cs="宋体"/>
                <w:color w:val="auto"/>
                <w:sz w:val="24"/>
                <w:szCs w:val="24"/>
                <w:highlight w:val="none"/>
              </w:rPr>
            </w:pPr>
          </w:p>
          <w:p w14:paraId="332F134B">
            <w:pPr>
              <w:adjustRightInd w:val="0"/>
              <w:snapToGrid w:val="0"/>
              <w:spacing w:line="400" w:lineRule="exact"/>
              <w:ind w:left="5250" w:firstLine="480" w:firstLineChars="200"/>
              <w:rPr>
                <w:rFonts w:ascii="宋体" w:hAnsi="宋体" w:cs="宋体"/>
                <w:color w:val="auto"/>
                <w:sz w:val="24"/>
                <w:szCs w:val="24"/>
                <w:highlight w:val="none"/>
              </w:rPr>
            </w:pPr>
          </w:p>
          <w:p w14:paraId="1E7C3701">
            <w:pPr>
              <w:adjustRightInd w:val="0"/>
              <w:snapToGrid w:val="0"/>
              <w:spacing w:line="400" w:lineRule="exact"/>
              <w:ind w:left="5250" w:firstLine="480" w:firstLineChars="200"/>
              <w:rPr>
                <w:rFonts w:ascii="宋体" w:hAnsi="宋体" w:cs="宋体"/>
                <w:color w:val="auto"/>
                <w:sz w:val="24"/>
                <w:szCs w:val="24"/>
                <w:highlight w:val="none"/>
              </w:rPr>
            </w:pPr>
          </w:p>
          <w:p w14:paraId="5D5C7FF1">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5EBF1627">
            <w:pPr>
              <w:adjustRightInd w:val="0"/>
              <w:snapToGrid w:val="0"/>
              <w:spacing w:line="400" w:lineRule="exact"/>
              <w:ind w:firstLine="210"/>
              <w:rPr>
                <w:rFonts w:hint="eastAsia" w:ascii="宋体" w:hAnsi="宋体" w:cs="宋体"/>
                <w:color w:val="auto"/>
                <w:sz w:val="24"/>
                <w:szCs w:val="24"/>
                <w:highlight w:val="none"/>
              </w:rPr>
            </w:pPr>
          </w:p>
          <w:p w14:paraId="451F095C">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w:t>
            </w:r>
          </w:p>
          <w:p w14:paraId="3F5D17C7">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1EAF98C1">
      <w:pPr>
        <w:spacing w:line="400" w:lineRule="exact"/>
        <w:rPr>
          <w:rFonts w:hint="eastAsia" w:ascii="宋体" w:hAnsi="宋体"/>
          <w:color w:val="auto"/>
          <w:sz w:val="24"/>
          <w:szCs w:val="24"/>
          <w:highlight w:val="none"/>
        </w:rPr>
      </w:pPr>
    </w:p>
    <w:p w14:paraId="40BCAB5E">
      <w:pPr>
        <w:pStyle w:val="95"/>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6"/>
      <w:bookmarkEnd w:id="7"/>
      <w:bookmarkEnd w:id="8"/>
      <w:bookmarkEnd w:id="9"/>
      <w:bookmarkEnd w:id="246"/>
      <w:bookmarkEnd w:id="247"/>
      <w:bookmarkEnd w:id="248"/>
      <w:bookmarkStart w:id="271" w:name="_Toc493059517"/>
      <w:bookmarkStart w:id="272" w:name="_Toc492974506"/>
      <w:bookmarkStart w:id="273" w:name="_Toc486863388"/>
      <w:bookmarkStart w:id="274" w:name="_Toc486846299"/>
      <w:bookmarkStart w:id="275" w:name="_Toc486863760"/>
      <w:bookmarkStart w:id="276" w:name="_Toc486846346"/>
      <w:bookmarkStart w:id="277" w:name="_Toc492973985"/>
      <w:bookmarkStart w:id="278" w:name="_Toc492975773"/>
      <w:bookmarkStart w:id="279" w:name="_Toc486862602"/>
      <w:bookmarkStart w:id="280" w:name="_Toc486846402"/>
      <w:bookmarkStart w:id="281" w:name="_Toc486844997"/>
      <w:bookmarkStart w:id="282" w:name="_Toc486845842"/>
      <w:bookmarkStart w:id="283" w:name="_Toc486844894"/>
      <w:bookmarkStart w:id="284" w:name="_Toc22211805"/>
      <w:bookmarkStart w:id="285" w:name="_Toc12078"/>
      <w:bookmarkStart w:id="286" w:name="_Toc10271"/>
      <w:bookmarkStart w:id="287" w:name="_Toc30132"/>
      <w:bookmarkStart w:id="288" w:name="_Toc91764966"/>
      <w:bookmarkStart w:id="289" w:name="_Toc19892"/>
      <w:r>
        <w:rPr>
          <w:rFonts w:hint="eastAsia"/>
          <w:b/>
          <w:color w:val="auto"/>
          <w:sz w:val="24"/>
          <w:highlight w:val="none"/>
        </w:rPr>
        <w:t>格式4：</w:t>
      </w:r>
      <w:bookmarkEnd w:id="271"/>
      <w:bookmarkEnd w:id="272"/>
      <w:bookmarkEnd w:id="273"/>
      <w:bookmarkEnd w:id="274"/>
      <w:bookmarkEnd w:id="275"/>
      <w:bookmarkEnd w:id="276"/>
      <w:bookmarkEnd w:id="277"/>
      <w:bookmarkEnd w:id="278"/>
      <w:bookmarkEnd w:id="279"/>
      <w:bookmarkEnd w:id="280"/>
      <w:bookmarkEnd w:id="281"/>
      <w:bookmarkEnd w:id="282"/>
      <w:bookmarkEnd w:id="283"/>
      <w:r>
        <w:rPr>
          <w:rFonts w:hint="eastAsia"/>
          <w:b/>
          <w:color w:val="auto"/>
          <w:sz w:val="24"/>
          <w:highlight w:val="none"/>
        </w:rPr>
        <w:t>响应人基本情况表</w:t>
      </w:r>
      <w:bookmarkEnd w:id="284"/>
      <w:bookmarkEnd w:id="285"/>
      <w:bookmarkEnd w:id="286"/>
      <w:bookmarkEnd w:id="287"/>
      <w:bookmarkEnd w:id="288"/>
      <w:bookmarkEnd w:id="289"/>
    </w:p>
    <w:p w14:paraId="27E436D1">
      <w:pPr>
        <w:pStyle w:val="24"/>
        <w:spacing w:line="500" w:lineRule="exact"/>
        <w:jc w:val="center"/>
        <w:rPr>
          <w:rFonts w:hint="eastAsia"/>
          <w:b/>
          <w:color w:val="auto"/>
          <w:sz w:val="28"/>
          <w:highlight w:val="none"/>
        </w:rPr>
      </w:pPr>
      <w:r>
        <w:rPr>
          <w:b/>
          <w:color w:val="auto"/>
          <w:sz w:val="28"/>
          <w:highlight w:val="none"/>
        </w:rPr>
        <w:t>响应人基本情况表</w:t>
      </w:r>
    </w:p>
    <w:tbl>
      <w:tblPr>
        <w:tblStyle w:val="4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2342"/>
      </w:tblGrid>
      <w:tr w14:paraId="43FE4D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9DF1B14">
            <w:pPr>
              <w:topLinePunct/>
              <w:spacing w:line="440" w:lineRule="exact"/>
              <w:jc w:val="center"/>
              <w:rPr>
                <w:color w:val="auto"/>
                <w:highlight w:val="none"/>
              </w:rPr>
            </w:pPr>
            <w:r>
              <w:rPr>
                <w:color w:val="auto"/>
                <w:highlight w:val="none"/>
              </w:rPr>
              <w:t>响应人名称</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133383D0">
            <w:pPr>
              <w:topLinePunct/>
              <w:spacing w:line="440" w:lineRule="exact"/>
              <w:jc w:val="center"/>
              <w:rPr>
                <w:color w:val="auto"/>
                <w:highlight w:val="none"/>
              </w:rPr>
            </w:pPr>
          </w:p>
        </w:tc>
      </w:tr>
      <w:tr w14:paraId="38AE90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CB16A14">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6C812597">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621257">
            <w:pPr>
              <w:topLinePunct/>
              <w:spacing w:line="440" w:lineRule="exact"/>
              <w:jc w:val="center"/>
              <w:rPr>
                <w:color w:val="auto"/>
                <w:highlight w:val="none"/>
              </w:rPr>
            </w:pPr>
            <w:r>
              <w:rPr>
                <w:color w:val="auto"/>
                <w:highlight w:val="none"/>
              </w:rPr>
              <w:t>邮政编码</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B12A71F">
            <w:pPr>
              <w:topLinePunct/>
              <w:spacing w:line="440" w:lineRule="exact"/>
              <w:jc w:val="center"/>
              <w:rPr>
                <w:color w:val="auto"/>
                <w:highlight w:val="none"/>
              </w:rPr>
            </w:pPr>
          </w:p>
        </w:tc>
      </w:tr>
      <w:tr w14:paraId="3130C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4F40D98E">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00B97288">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5FE1A55">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3FC6989">
            <w:pPr>
              <w:topLinePunct/>
              <w:spacing w:line="440" w:lineRule="exact"/>
              <w:jc w:val="center"/>
              <w:rPr>
                <w:color w:val="auto"/>
                <w:highlight w:val="none"/>
              </w:rPr>
            </w:pPr>
            <w:r>
              <w:rPr>
                <w:color w:val="auto"/>
                <w:highlight w:val="none"/>
              </w:rPr>
              <w:t>电 话</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020FC27A">
            <w:pPr>
              <w:topLinePunct/>
              <w:spacing w:line="440" w:lineRule="exact"/>
              <w:jc w:val="center"/>
              <w:rPr>
                <w:color w:val="auto"/>
                <w:highlight w:val="none"/>
              </w:rPr>
            </w:pPr>
          </w:p>
        </w:tc>
      </w:tr>
      <w:tr w14:paraId="30917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5F32F95F">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4837064C">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0656670E">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26DC83C">
            <w:pPr>
              <w:topLinePunct/>
              <w:spacing w:line="440" w:lineRule="exact"/>
              <w:jc w:val="center"/>
              <w:rPr>
                <w:color w:val="auto"/>
                <w:highlight w:val="none"/>
              </w:rPr>
            </w:pPr>
            <w:r>
              <w:rPr>
                <w:color w:val="auto"/>
                <w:highlight w:val="none"/>
              </w:rPr>
              <w:t>网 址</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AF04233">
            <w:pPr>
              <w:topLinePunct/>
              <w:spacing w:line="440" w:lineRule="exact"/>
              <w:jc w:val="center"/>
              <w:rPr>
                <w:color w:val="auto"/>
                <w:highlight w:val="none"/>
              </w:rPr>
            </w:pPr>
          </w:p>
        </w:tc>
      </w:tr>
      <w:tr w14:paraId="6773E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4E07448A">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D8BA3DC">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E665E34">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D27CFA">
            <w:pPr>
              <w:topLinePunct/>
              <w:spacing w:line="440" w:lineRule="exact"/>
              <w:jc w:val="center"/>
              <w:rPr>
                <w:color w:val="auto"/>
                <w:highlight w:val="none"/>
              </w:rPr>
            </w:pPr>
            <w:r>
              <w:rPr>
                <w:color w:val="auto"/>
                <w:highlight w:val="none"/>
              </w:rPr>
              <w:t>成立时间</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7DF3C032">
            <w:pPr>
              <w:topLinePunct/>
              <w:spacing w:line="440" w:lineRule="exact"/>
              <w:jc w:val="center"/>
              <w:rPr>
                <w:color w:val="auto"/>
                <w:highlight w:val="none"/>
              </w:rPr>
            </w:pPr>
          </w:p>
        </w:tc>
      </w:tr>
      <w:tr w14:paraId="50566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00443842">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23992D8E">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D4900FE">
            <w:pPr>
              <w:topLinePunct/>
              <w:spacing w:line="440" w:lineRule="exact"/>
              <w:jc w:val="center"/>
              <w:rPr>
                <w:color w:val="auto"/>
                <w:highlight w:val="none"/>
              </w:rPr>
            </w:pPr>
            <w:r>
              <w:rPr>
                <w:color w:val="auto"/>
                <w:highlight w:val="none"/>
              </w:rPr>
              <w:t>注册资金</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FB71918">
            <w:pPr>
              <w:topLinePunct/>
              <w:spacing w:line="440" w:lineRule="exact"/>
              <w:jc w:val="center"/>
              <w:rPr>
                <w:color w:val="auto"/>
                <w:highlight w:val="none"/>
              </w:rPr>
            </w:pPr>
          </w:p>
        </w:tc>
      </w:tr>
      <w:tr w14:paraId="71461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569E4AF">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17FBCAB6">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85A80DA">
            <w:pPr>
              <w:topLinePunct/>
              <w:spacing w:line="440" w:lineRule="exact"/>
              <w:jc w:val="center"/>
              <w:rPr>
                <w:color w:val="auto"/>
                <w:highlight w:val="none"/>
              </w:rPr>
            </w:pP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29FBB93">
            <w:pPr>
              <w:topLinePunct/>
              <w:spacing w:line="440" w:lineRule="exact"/>
              <w:jc w:val="center"/>
              <w:rPr>
                <w:color w:val="auto"/>
                <w:highlight w:val="none"/>
              </w:rPr>
            </w:pPr>
          </w:p>
        </w:tc>
      </w:tr>
      <w:tr w14:paraId="1CDF2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BBF34E8">
            <w:pPr>
              <w:topLinePunct/>
              <w:spacing w:line="440" w:lineRule="exact"/>
              <w:jc w:val="center"/>
              <w:rPr>
                <w:color w:val="auto"/>
                <w:highlight w:val="none"/>
              </w:rPr>
            </w:pPr>
            <w:r>
              <w:rPr>
                <w:color w:val="auto"/>
                <w:highlight w:val="none"/>
              </w:rPr>
              <w:t>组织结构</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4A50932B">
            <w:pPr>
              <w:topLinePunct/>
              <w:spacing w:line="440" w:lineRule="exact"/>
              <w:jc w:val="center"/>
              <w:rPr>
                <w:color w:val="auto"/>
                <w:highlight w:val="none"/>
              </w:rPr>
            </w:pPr>
          </w:p>
        </w:tc>
      </w:tr>
      <w:tr w14:paraId="583B2C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9EB3986">
            <w:pPr>
              <w:topLinePunct/>
              <w:spacing w:line="440" w:lineRule="exact"/>
              <w:jc w:val="center"/>
              <w:rPr>
                <w:rFonts w:hint="eastAsia"/>
                <w:color w:val="auto"/>
                <w:highlight w:val="none"/>
              </w:rPr>
            </w:pPr>
            <w:r>
              <w:rPr>
                <w:color w:val="auto"/>
                <w:highlight w:val="none"/>
              </w:rPr>
              <w:t>社会统一</w:t>
            </w:r>
          </w:p>
          <w:p w14:paraId="342FD212">
            <w:pPr>
              <w:topLinePunct/>
              <w:spacing w:line="440" w:lineRule="exact"/>
              <w:jc w:val="center"/>
              <w:rPr>
                <w:rFonts w:hint="eastAsia"/>
                <w:color w:val="auto"/>
                <w:highlight w:val="none"/>
              </w:rPr>
            </w:pPr>
            <w:r>
              <w:rPr>
                <w:color w:val="auto"/>
                <w:highlight w:val="none"/>
              </w:rPr>
              <w:t>信用代码</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5485C1FB">
            <w:pPr>
              <w:topLinePunct/>
              <w:spacing w:line="440" w:lineRule="exact"/>
              <w:rPr>
                <w:color w:val="auto"/>
                <w:highlight w:val="none"/>
              </w:rPr>
            </w:pPr>
          </w:p>
        </w:tc>
      </w:tr>
      <w:tr w14:paraId="423E9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9AAF776">
            <w:pPr>
              <w:topLinePunct/>
              <w:spacing w:line="440" w:lineRule="exact"/>
              <w:jc w:val="center"/>
              <w:rPr>
                <w:color w:val="auto"/>
                <w:highlight w:val="none"/>
              </w:rPr>
            </w:pPr>
            <w:r>
              <w:rPr>
                <w:color w:val="auto"/>
                <w:highlight w:val="none"/>
              </w:rPr>
              <w:t>经营范围</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3C729A7D">
            <w:pPr>
              <w:topLinePunct/>
              <w:spacing w:line="440" w:lineRule="exact"/>
              <w:rPr>
                <w:color w:val="auto"/>
                <w:highlight w:val="none"/>
              </w:rPr>
            </w:pPr>
          </w:p>
        </w:tc>
      </w:tr>
      <w:tr w14:paraId="7FE6DE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DA97CFA">
            <w:pPr>
              <w:topLinePunct/>
              <w:spacing w:line="440" w:lineRule="exact"/>
              <w:jc w:val="center"/>
              <w:rPr>
                <w:color w:val="auto"/>
                <w:highlight w:val="none"/>
              </w:rPr>
            </w:pPr>
            <w:r>
              <w:rPr>
                <w:color w:val="auto"/>
                <w:highlight w:val="none"/>
              </w:rPr>
              <w:t>备注</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238B4290">
            <w:pPr>
              <w:topLinePunct/>
              <w:spacing w:line="440" w:lineRule="exact"/>
              <w:rPr>
                <w:color w:val="auto"/>
                <w:highlight w:val="none"/>
              </w:rPr>
            </w:pPr>
          </w:p>
        </w:tc>
      </w:tr>
    </w:tbl>
    <w:p w14:paraId="6517A4B3">
      <w:pPr>
        <w:topLinePunct/>
        <w:spacing w:line="440" w:lineRule="exact"/>
        <w:rPr>
          <w:rFonts w:hint="eastAsia"/>
          <w:color w:val="auto"/>
          <w:sz w:val="20"/>
          <w:highlight w:val="none"/>
        </w:rPr>
      </w:pPr>
      <w:r>
        <w:rPr>
          <w:rFonts w:hint="eastAsia" w:ascii="宋体" w:hAnsi="宋体"/>
          <w:b/>
          <w:color w:val="auto"/>
          <w:highlight w:val="none"/>
        </w:rPr>
        <w:t>附：营业执照（副本）复印件加盖单位公章。</w:t>
      </w:r>
    </w:p>
    <w:p w14:paraId="52FA2920">
      <w:pPr>
        <w:topLinePunct/>
        <w:spacing w:line="440" w:lineRule="exact"/>
        <w:rPr>
          <w:rFonts w:hint="eastAsia" w:ascii="宋体" w:hAnsi="宋体" w:eastAsia="宋体"/>
          <w:b/>
          <w:color w:val="auto"/>
          <w:sz w:val="24"/>
          <w:szCs w:val="24"/>
          <w:highlight w:val="none"/>
        </w:rPr>
      </w:pPr>
      <w:r>
        <w:rPr>
          <w:rFonts w:hAnsi="宋体"/>
          <w:b/>
          <w:color w:val="auto"/>
          <w:sz w:val="24"/>
          <w:highlight w:val="none"/>
        </w:rPr>
        <w:br w:type="page"/>
      </w:r>
      <w:r>
        <w:rPr>
          <w:rFonts w:hint="eastAsia" w:ascii="宋体" w:hAnsi="宋体" w:eastAsia="宋体"/>
          <w:b/>
          <w:color w:val="auto"/>
          <w:sz w:val="24"/>
          <w:szCs w:val="24"/>
          <w:highlight w:val="none"/>
        </w:rPr>
        <w:t>格式</w:t>
      </w:r>
      <w:r>
        <w:rPr>
          <w:rFonts w:hint="eastAsia" w:ascii="宋体" w:hAnsi="宋体" w:eastAsia="宋体"/>
          <w:b/>
          <w:color w:val="auto"/>
          <w:sz w:val="24"/>
          <w:szCs w:val="24"/>
          <w:highlight w:val="none"/>
          <w:lang w:val="en-US" w:eastAsia="zh-CN"/>
        </w:rPr>
        <w:t>5</w:t>
      </w:r>
      <w:r>
        <w:rPr>
          <w:rFonts w:hint="eastAsia" w:ascii="宋体" w:hAnsi="宋体" w:eastAsia="宋体"/>
          <w:b/>
          <w:color w:val="auto"/>
          <w:sz w:val="24"/>
          <w:szCs w:val="24"/>
          <w:highlight w:val="none"/>
        </w:rPr>
        <w:t>：供应商类似业绩</w:t>
      </w:r>
    </w:p>
    <w:p w14:paraId="3FCDD04D">
      <w:pPr>
        <w:topLinePunct/>
        <w:spacing w:line="440" w:lineRule="exact"/>
        <w:rPr>
          <w:rFonts w:hint="eastAsia" w:ascii="Times New Roman" w:hAnsi="Times New Roman" w:eastAsia="宋体"/>
          <w:color w:val="auto"/>
          <w:sz w:val="20"/>
          <w:highlight w:val="none"/>
        </w:rPr>
      </w:pPr>
    </w:p>
    <w:p w14:paraId="0BC9A4F4">
      <w:pPr>
        <w:keepNext w:val="0"/>
        <w:keepLines w:val="0"/>
        <w:widowControl/>
        <w:suppressLineNumbers w:val="0"/>
        <w:jc w:val="center"/>
        <w:rPr>
          <w:rFonts w:ascii="Times New Roman" w:hAnsi="Times New Roman" w:eastAsia="宋体"/>
          <w:color w:val="auto"/>
          <w:sz w:val="28"/>
          <w:szCs w:val="28"/>
        </w:rPr>
      </w:pPr>
      <w:r>
        <w:rPr>
          <w:rStyle w:val="49"/>
          <w:rFonts w:ascii="宋体" w:hAnsi="宋体" w:eastAsia="宋体" w:cs="宋体"/>
          <w:color w:val="auto"/>
          <w:kern w:val="0"/>
          <w:sz w:val="28"/>
          <w:szCs w:val="28"/>
          <w:lang w:val="en-US" w:eastAsia="zh-CN" w:bidi="ar"/>
        </w:rPr>
        <w:t>类似项目情况表</w:t>
      </w:r>
    </w:p>
    <w:tbl>
      <w:tblPr>
        <w:tblStyle w:val="4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028"/>
        <w:gridCol w:w="6519"/>
      </w:tblGrid>
      <w:tr w14:paraId="65C3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B8E2AC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合同名称</w:t>
            </w:r>
          </w:p>
        </w:tc>
        <w:tc>
          <w:tcPr>
            <w:tcW w:w="3813" w:type="pct"/>
            <w:noWrap w:val="0"/>
            <w:tcMar>
              <w:top w:w="120" w:type="dxa"/>
              <w:left w:w="120" w:type="dxa"/>
              <w:bottom w:w="120" w:type="dxa"/>
              <w:right w:w="120" w:type="dxa"/>
            </w:tcMar>
            <w:vAlign w:val="center"/>
          </w:tcPr>
          <w:p w14:paraId="47182C0E">
            <w:pPr>
              <w:jc w:val="center"/>
              <w:rPr>
                <w:rFonts w:hint="eastAsia" w:ascii="宋体" w:hAnsi="Times New Roman" w:eastAsia="宋体"/>
                <w:color w:val="auto"/>
                <w:sz w:val="21"/>
                <w:szCs w:val="21"/>
              </w:rPr>
            </w:pPr>
          </w:p>
        </w:tc>
      </w:tr>
      <w:tr w14:paraId="188C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4BC40155">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合同项目所在地</w:t>
            </w:r>
          </w:p>
        </w:tc>
        <w:tc>
          <w:tcPr>
            <w:tcW w:w="3813" w:type="pct"/>
            <w:noWrap w:val="0"/>
            <w:tcMar>
              <w:top w:w="120" w:type="dxa"/>
              <w:left w:w="120" w:type="dxa"/>
              <w:bottom w:w="120" w:type="dxa"/>
              <w:right w:w="120" w:type="dxa"/>
            </w:tcMar>
            <w:vAlign w:val="center"/>
          </w:tcPr>
          <w:p w14:paraId="399B9C58">
            <w:pPr>
              <w:jc w:val="center"/>
              <w:rPr>
                <w:rFonts w:hint="eastAsia" w:ascii="宋体" w:hAnsi="Times New Roman" w:eastAsia="宋体"/>
                <w:color w:val="auto"/>
                <w:sz w:val="21"/>
                <w:szCs w:val="21"/>
              </w:rPr>
            </w:pPr>
          </w:p>
        </w:tc>
      </w:tr>
      <w:tr w14:paraId="5392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328B7EA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发包人名称</w:t>
            </w:r>
          </w:p>
        </w:tc>
        <w:tc>
          <w:tcPr>
            <w:tcW w:w="3813" w:type="pct"/>
            <w:noWrap w:val="0"/>
            <w:tcMar>
              <w:top w:w="120" w:type="dxa"/>
              <w:left w:w="120" w:type="dxa"/>
              <w:bottom w:w="120" w:type="dxa"/>
              <w:right w:w="120" w:type="dxa"/>
            </w:tcMar>
            <w:vAlign w:val="center"/>
          </w:tcPr>
          <w:p w14:paraId="4456B0AC">
            <w:pPr>
              <w:jc w:val="center"/>
              <w:rPr>
                <w:rFonts w:hint="eastAsia" w:ascii="宋体" w:hAnsi="Times New Roman" w:eastAsia="宋体"/>
                <w:color w:val="auto"/>
                <w:sz w:val="21"/>
                <w:szCs w:val="21"/>
              </w:rPr>
            </w:pPr>
          </w:p>
        </w:tc>
      </w:tr>
      <w:tr w14:paraId="3E2E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046AD2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发包人地址</w:t>
            </w:r>
          </w:p>
        </w:tc>
        <w:tc>
          <w:tcPr>
            <w:tcW w:w="3813" w:type="pct"/>
            <w:noWrap w:val="0"/>
            <w:tcMar>
              <w:top w:w="120" w:type="dxa"/>
              <w:left w:w="120" w:type="dxa"/>
              <w:bottom w:w="120" w:type="dxa"/>
              <w:right w:w="120" w:type="dxa"/>
            </w:tcMar>
            <w:vAlign w:val="center"/>
          </w:tcPr>
          <w:p w14:paraId="57EC4B8F">
            <w:pPr>
              <w:jc w:val="center"/>
              <w:rPr>
                <w:rFonts w:hint="eastAsia" w:ascii="宋体" w:hAnsi="Times New Roman" w:eastAsia="宋体"/>
                <w:color w:val="auto"/>
                <w:sz w:val="21"/>
                <w:szCs w:val="21"/>
              </w:rPr>
            </w:pPr>
          </w:p>
        </w:tc>
      </w:tr>
      <w:tr w14:paraId="680F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9A9EB9D">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发包人电话</w:t>
            </w:r>
          </w:p>
        </w:tc>
        <w:tc>
          <w:tcPr>
            <w:tcW w:w="3813" w:type="pct"/>
            <w:noWrap w:val="0"/>
            <w:tcMar>
              <w:top w:w="120" w:type="dxa"/>
              <w:left w:w="120" w:type="dxa"/>
              <w:bottom w:w="120" w:type="dxa"/>
              <w:right w:w="120" w:type="dxa"/>
            </w:tcMar>
            <w:vAlign w:val="center"/>
          </w:tcPr>
          <w:p w14:paraId="2C2A4205">
            <w:pPr>
              <w:jc w:val="center"/>
              <w:rPr>
                <w:rFonts w:hint="eastAsia" w:ascii="宋体" w:hAnsi="Times New Roman" w:eastAsia="宋体"/>
                <w:color w:val="auto"/>
                <w:sz w:val="21"/>
                <w:szCs w:val="21"/>
              </w:rPr>
            </w:pPr>
          </w:p>
        </w:tc>
      </w:tr>
      <w:tr w14:paraId="0A3E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6CF88A8F">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签约合同价</w:t>
            </w:r>
          </w:p>
        </w:tc>
        <w:tc>
          <w:tcPr>
            <w:tcW w:w="3813" w:type="pct"/>
            <w:noWrap w:val="0"/>
            <w:tcMar>
              <w:top w:w="120" w:type="dxa"/>
              <w:left w:w="120" w:type="dxa"/>
              <w:bottom w:w="120" w:type="dxa"/>
              <w:right w:w="120" w:type="dxa"/>
            </w:tcMar>
            <w:vAlign w:val="center"/>
          </w:tcPr>
          <w:p w14:paraId="30C8F1FD">
            <w:pPr>
              <w:jc w:val="center"/>
              <w:rPr>
                <w:rFonts w:hint="eastAsia" w:ascii="宋体" w:hAnsi="Times New Roman" w:eastAsia="宋体"/>
                <w:color w:val="auto"/>
                <w:sz w:val="21"/>
                <w:szCs w:val="21"/>
              </w:rPr>
            </w:pPr>
          </w:p>
        </w:tc>
      </w:tr>
      <w:tr w14:paraId="738DA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5AA31FC">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合同签约时间</w:t>
            </w:r>
          </w:p>
        </w:tc>
        <w:tc>
          <w:tcPr>
            <w:tcW w:w="3813" w:type="pct"/>
            <w:noWrap w:val="0"/>
            <w:tcMar>
              <w:top w:w="120" w:type="dxa"/>
              <w:left w:w="120" w:type="dxa"/>
              <w:bottom w:w="120" w:type="dxa"/>
              <w:right w:w="120" w:type="dxa"/>
            </w:tcMar>
            <w:vAlign w:val="center"/>
          </w:tcPr>
          <w:p w14:paraId="6923ADF2">
            <w:pPr>
              <w:jc w:val="center"/>
              <w:rPr>
                <w:rFonts w:hint="eastAsia" w:ascii="宋体" w:hAnsi="Times New Roman" w:eastAsia="宋体"/>
                <w:color w:val="auto"/>
                <w:sz w:val="21"/>
                <w:szCs w:val="21"/>
              </w:rPr>
            </w:pPr>
          </w:p>
        </w:tc>
      </w:tr>
      <w:tr w14:paraId="4FCFB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42F69374">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承担的工作</w:t>
            </w:r>
          </w:p>
        </w:tc>
        <w:tc>
          <w:tcPr>
            <w:tcW w:w="3813" w:type="pct"/>
            <w:noWrap w:val="0"/>
            <w:tcMar>
              <w:top w:w="120" w:type="dxa"/>
              <w:left w:w="120" w:type="dxa"/>
              <w:bottom w:w="120" w:type="dxa"/>
              <w:right w:w="120" w:type="dxa"/>
            </w:tcMar>
            <w:vAlign w:val="center"/>
          </w:tcPr>
          <w:p w14:paraId="5E11BD01">
            <w:pPr>
              <w:jc w:val="center"/>
              <w:rPr>
                <w:rFonts w:hint="eastAsia" w:ascii="宋体" w:hAnsi="Times New Roman" w:eastAsia="宋体"/>
                <w:color w:val="auto"/>
                <w:sz w:val="21"/>
                <w:szCs w:val="21"/>
              </w:rPr>
            </w:pPr>
          </w:p>
          <w:p w14:paraId="3259A82C">
            <w:pPr>
              <w:jc w:val="center"/>
              <w:rPr>
                <w:rFonts w:hint="eastAsia" w:ascii="宋体" w:hAnsi="Times New Roman" w:eastAsia="宋体"/>
                <w:color w:val="auto"/>
                <w:sz w:val="21"/>
                <w:szCs w:val="21"/>
              </w:rPr>
            </w:pPr>
          </w:p>
          <w:p w14:paraId="50B40A84">
            <w:pPr>
              <w:jc w:val="center"/>
              <w:rPr>
                <w:rFonts w:hint="eastAsia" w:ascii="宋体" w:hAnsi="Times New Roman" w:eastAsia="宋体"/>
                <w:color w:val="auto"/>
                <w:sz w:val="21"/>
                <w:szCs w:val="21"/>
              </w:rPr>
            </w:pPr>
          </w:p>
          <w:p w14:paraId="224329AC">
            <w:pPr>
              <w:jc w:val="center"/>
              <w:rPr>
                <w:rFonts w:hint="eastAsia" w:ascii="宋体" w:hAnsi="Times New Roman" w:eastAsia="宋体"/>
                <w:color w:val="auto"/>
                <w:sz w:val="21"/>
                <w:szCs w:val="21"/>
              </w:rPr>
            </w:pPr>
          </w:p>
        </w:tc>
      </w:tr>
      <w:tr w14:paraId="27DE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145B116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合同项目描述</w:t>
            </w:r>
          </w:p>
        </w:tc>
        <w:tc>
          <w:tcPr>
            <w:tcW w:w="3813" w:type="pct"/>
            <w:noWrap w:val="0"/>
            <w:tcMar>
              <w:top w:w="120" w:type="dxa"/>
              <w:left w:w="120" w:type="dxa"/>
              <w:bottom w:w="120" w:type="dxa"/>
              <w:right w:w="120" w:type="dxa"/>
            </w:tcMar>
            <w:vAlign w:val="center"/>
          </w:tcPr>
          <w:p w14:paraId="38EC5F2D">
            <w:pPr>
              <w:jc w:val="center"/>
              <w:rPr>
                <w:rFonts w:hint="eastAsia" w:ascii="宋体" w:hAnsi="Times New Roman" w:eastAsia="宋体"/>
                <w:color w:val="auto"/>
                <w:sz w:val="21"/>
                <w:szCs w:val="21"/>
              </w:rPr>
            </w:pPr>
          </w:p>
          <w:p w14:paraId="657271E0">
            <w:pPr>
              <w:jc w:val="center"/>
              <w:rPr>
                <w:rFonts w:hint="eastAsia" w:ascii="宋体" w:hAnsi="Times New Roman" w:eastAsia="宋体"/>
                <w:color w:val="auto"/>
                <w:sz w:val="21"/>
                <w:szCs w:val="21"/>
              </w:rPr>
            </w:pPr>
          </w:p>
          <w:p w14:paraId="1F6122CD">
            <w:pPr>
              <w:jc w:val="center"/>
              <w:rPr>
                <w:rFonts w:hint="eastAsia" w:ascii="宋体" w:hAnsi="Times New Roman" w:eastAsia="宋体"/>
                <w:color w:val="auto"/>
                <w:sz w:val="21"/>
                <w:szCs w:val="21"/>
              </w:rPr>
            </w:pPr>
          </w:p>
          <w:p w14:paraId="3B615623">
            <w:pPr>
              <w:jc w:val="center"/>
              <w:rPr>
                <w:rFonts w:hint="eastAsia" w:ascii="宋体" w:hAnsi="Times New Roman" w:eastAsia="宋体"/>
                <w:color w:val="auto"/>
                <w:sz w:val="21"/>
                <w:szCs w:val="21"/>
              </w:rPr>
            </w:pPr>
          </w:p>
          <w:p w14:paraId="373B143C">
            <w:pPr>
              <w:jc w:val="center"/>
              <w:rPr>
                <w:rFonts w:hint="eastAsia" w:ascii="宋体" w:hAnsi="Times New Roman" w:eastAsia="宋体"/>
                <w:color w:val="auto"/>
                <w:sz w:val="21"/>
                <w:szCs w:val="21"/>
              </w:rPr>
            </w:pPr>
          </w:p>
        </w:tc>
      </w:tr>
      <w:tr w14:paraId="15396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5" w:hRule="atLeast"/>
        </w:trPr>
        <w:tc>
          <w:tcPr>
            <w:tcW w:w="1186" w:type="pct"/>
            <w:noWrap w:val="0"/>
            <w:tcMar>
              <w:top w:w="120" w:type="dxa"/>
              <w:left w:w="120" w:type="dxa"/>
              <w:bottom w:w="120" w:type="dxa"/>
              <w:right w:w="120" w:type="dxa"/>
            </w:tcMar>
            <w:vAlign w:val="center"/>
          </w:tcPr>
          <w:p w14:paraId="739E3479">
            <w:pPr>
              <w:keepNext w:val="0"/>
              <w:keepLines w:val="0"/>
              <w:widowControl/>
              <w:suppressLineNumbers w:val="0"/>
              <w:pBdr>
                <w:top w:val="none" w:color="auto" w:sz="0" w:space="0"/>
                <w:left w:val="none" w:color="auto" w:sz="0" w:space="0"/>
                <w:bottom w:val="none" w:color="auto" w:sz="0" w:space="0"/>
                <w:right w:val="none" w:color="auto" w:sz="0" w:space="0"/>
              </w:pBdr>
              <w:jc w:val="center"/>
              <w:textAlignment w:val="top"/>
              <w:rPr>
                <w:rFonts w:ascii="Times New Roman" w:hAnsi="Times New Roman" w:eastAsia="宋体"/>
                <w:color w:val="auto"/>
                <w:sz w:val="21"/>
                <w:szCs w:val="21"/>
              </w:rPr>
            </w:pPr>
            <w:r>
              <w:rPr>
                <w:rFonts w:ascii="宋体" w:hAnsi="宋体" w:eastAsia="宋体" w:cs="宋体"/>
                <w:color w:val="auto"/>
                <w:kern w:val="0"/>
                <w:sz w:val="21"/>
                <w:szCs w:val="21"/>
                <w:lang w:val="en-US" w:eastAsia="zh-CN" w:bidi="ar"/>
              </w:rPr>
              <w:t>备注</w:t>
            </w:r>
          </w:p>
        </w:tc>
        <w:tc>
          <w:tcPr>
            <w:tcW w:w="3813" w:type="pct"/>
            <w:noWrap w:val="0"/>
            <w:tcMar>
              <w:top w:w="120" w:type="dxa"/>
              <w:left w:w="120" w:type="dxa"/>
              <w:bottom w:w="120" w:type="dxa"/>
              <w:right w:w="120" w:type="dxa"/>
            </w:tcMar>
            <w:vAlign w:val="center"/>
          </w:tcPr>
          <w:p w14:paraId="0BCEDF01">
            <w:pPr>
              <w:jc w:val="center"/>
              <w:rPr>
                <w:rFonts w:hint="eastAsia" w:ascii="宋体" w:hAnsi="Times New Roman" w:eastAsia="宋体"/>
                <w:color w:val="auto"/>
                <w:sz w:val="21"/>
                <w:szCs w:val="21"/>
              </w:rPr>
            </w:pPr>
          </w:p>
        </w:tc>
      </w:tr>
    </w:tbl>
    <w:p w14:paraId="32A09822">
      <w:pPr>
        <w:widowControl w:val="0"/>
        <w:spacing w:line="500" w:lineRule="exact"/>
        <w:jc w:val="left"/>
        <w:rPr>
          <w:rFonts w:hint="eastAsia" w:ascii="宋体" w:hAnsi="宋体" w:eastAsia="宋体" w:cs="Times New Roman"/>
          <w:b/>
          <w:color w:val="auto"/>
          <w:kern w:val="0"/>
          <w:sz w:val="24"/>
          <w:szCs w:val="21"/>
          <w:highlight w:val="none"/>
          <w:lang w:val="en-US" w:eastAsia="zh-CN" w:bidi="ar-SA"/>
        </w:rPr>
      </w:pPr>
      <w:r>
        <w:rPr>
          <w:rFonts w:hint="eastAsia" w:ascii="宋体" w:hAnsi="宋体" w:eastAsia="宋体" w:cs="Times New Roman"/>
          <w:b/>
          <w:color w:val="auto"/>
          <w:kern w:val="0"/>
          <w:sz w:val="24"/>
          <w:szCs w:val="21"/>
          <w:highlight w:val="none"/>
          <w:lang w:val="en-US" w:eastAsia="zh-CN" w:bidi="ar-SA"/>
        </w:rPr>
        <w:t>附：合同复印件。如合同中不能体现合同金额等关键信息的，还应提供业主证明等其他证明材料</w:t>
      </w:r>
    </w:p>
    <w:p w14:paraId="0DE734B1">
      <w:pPr>
        <w:pStyle w:val="24"/>
        <w:spacing w:line="500" w:lineRule="exact"/>
        <w:jc w:val="left"/>
        <w:rPr>
          <w:rFonts w:hint="eastAsia" w:hAnsi="宋体"/>
          <w:b/>
          <w:color w:val="auto"/>
          <w:sz w:val="24"/>
          <w:highlight w:val="none"/>
          <w:lang w:val="en-US" w:eastAsia="zh-CN"/>
        </w:rPr>
      </w:pPr>
      <w:r>
        <w:rPr>
          <w:rFonts w:hAnsi="宋体"/>
          <w:b/>
          <w:color w:val="auto"/>
          <w:sz w:val="24"/>
          <w:highlight w:val="none"/>
        </w:rPr>
        <w:br w:type="page"/>
      </w:r>
      <w:bookmarkStart w:id="290" w:name="_Toc22211809"/>
      <w:bookmarkStart w:id="291" w:name="_Toc91764967"/>
      <w:r>
        <w:rPr>
          <w:rFonts w:hint="eastAsia" w:hAnsi="宋体"/>
          <w:b/>
          <w:color w:val="auto"/>
          <w:sz w:val="24"/>
          <w:highlight w:val="none"/>
          <w:lang w:val="en-US" w:eastAsia="zh-CN"/>
        </w:rPr>
        <w:t>格式6：供货方案</w:t>
      </w:r>
    </w:p>
    <w:p w14:paraId="5E4B478A">
      <w:pPr>
        <w:pStyle w:val="24"/>
        <w:spacing w:line="500" w:lineRule="exact"/>
        <w:jc w:val="left"/>
        <w:rPr>
          <w:rFonts w:hint="eastAsia" w:hAnsi="宋体"/>
          <w:b/>
          <w:color w:val="auto"/>
          <w:sz w:val="24"/>
          <w:highlight w:val="none"/>
        </w:rPr>
      </w:pPr>
      <w:r>
        <w:rPr>
          <w:rStyle w:val="49"/>
          <w:rFonts w:hint="default" w:ascii="宋体" w:hAnsi="宋体" w:eastAsia="宋体" w:cs="宋体"/>
          <w:color w:val="auto"/>
          <w:kern w:val="0"/>
          <w:sz w:val="28"/>
          <w:szCs w:val="28"/>
          <w:lang w:val="en-US" w:eastAsia="zh-CN" w:bidi="ar"/>
        </w:rPr>
        <w:t>编制要求：应简明扼要说明</w:t>
      </w:r>
      <w:r>
        <w:rPr>
          <w:rStyle w:val="49"/>
          <w:rFonts w:hint="default" w:ascii="宋体" w:hAnsi="宋体" w:eastAsia="宋体" w:cs="宋体"/>
          <w:color w:val="auto"/>
          <w:sz w:val="28"/>
          <w:szCs w:val="28"/>
          <w:lang w:bidi="ar"/>
        </w:rPr>
        <w:t>供货组织及到货保障能力</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售后服务体系及质保承诺</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应急响应与紧急供应能力</w:t>
      </w:r>
      <w:r>
        <w:rPr>
          <w:rStyle w:val="49"/>
          <w:rFonts w:hint="eastAsia" w:ascii="宋体" w:hAnsi="宋体" w:eastAsia="宋体" w:cs="宋体"/>
          <w:color w:val="auto"/>
          <w:sz w:val="28"/>
          <w:szCs w:val="28"/>
          <w:lang w:eastAsia="zh-CN" w:bidi="ar"/>
        </w:rPr>
        <w:t>、</w:t>
      </w:r>
      <w:r>
        <w:rPr>
          <w:rStyle w:val="49"/>
          <w:rFonts w:hint="default" w:ascii="宋体" w:hAnsi="宋体" w:eastAsia="宋体" w:cs="宋体"/>
          <w:color w:val="auto"/>
          <w:sz w:val="28"/>
          <w:szCs w:val="28"/>
          <w:lang w:bidi="ar"/>
        </w:rPr>
        <w:t>增值服务</w:t>
      </w:r>
      <w:r>
        <w:rPr>
          <w:rStyle w:val="49"/>
          <w:rFonts w:hint="default" w:ascii="宋体" w:hAnsi="宋体" w:eastAsia="宋体" w:cs="宋体"/>
          <w:color w:val="auto"/>
          <w:kern w:val="0"/>
          <w:sz w:val="28"/>
          <w:szCs w:val="28"/>
          <w:lang w:val="en-US" w:eastAsia="zh-CN" w:bidi="ar"/>
        </w:rPr>
        <w:t>等（可参考第三章3.4技术评分标准）。</w:t>
      </w:r>
    </w:p>
    <w:p w14:paraId="59F7299C">
      <w:pPr>
        <w:pStyle w:val="24"/>
        <w:spacing w:line="500" w:lineRule="exact"/>
        <w:jc w:val="left"/>
        <w:rPr>
          <w:b/>
          <w:color w:val="auto"/>
          <w:sz w:val="24"/>
          <w:szCs w:val="24"/>
          <w:highlight w:val="none"/>
        </w:rPr>
      </w:pPr>
      <w:r>
        <w:rPr>
          <w:rFonts w:hAnsi="宋体"/>
          <w:b/>
          <w:color w:val="auto"/>
          <w:sz w:val="24"/>
          <w:highlight w:val="none"/>
        </w:rPr>
        <w:br w:type="page"/>
      </w:r>
      <w:r>
        <w:rPr>
          <w:rFonts w:hint="eastAsia"/>
          <w:b/>
          <w:color w:val="auto"/>
          <w:sz w:val="24"/>
          <w:szCs w:val="24"/>
          <w:highlight w:val="none"/>
        </w:rPr>
        <w:t>格式</w:t>
      </w:r>
      <w:r>
        <w:rPr>
          <w:rFonts w:hint="eastAsia"/>
          <w:b/>
          <w:color w:val="auto"/>
          <w:sz w:val="24"/>
          <w:szCs w:val="24"/>
          <w:highlight w:val="none"/>
          <w:lang w:val="en-US" w:eastAsia="zh-CN"/>
        </w:rPr>
        <w:t>7</w:t>
      </w:r>
      <w:r>
        <w:rPr>
          <w:rFonts w:hint="eastAsia"/>
          <w:b/>
          <w:color w:val="auto"/>
          <w:sz w:val="24"/>
          <w:szCs w:val="24"/>
          <w:highlight w:val="none"/>
        </w:rPr>
        <w:t>：</w:t>
      </w:r>
      <w:bookmarkEnd w:id="290"/>
      <w:r>
        <w:rPr>
          <w:rFonts w:hint="eastAsia"/>
          <w:b/>
          <w:color w:val="auto"/>
          <w:sz w:val="24"/>
          <w:szCs w:val="24"/>
          <w:highlight w:val="none"/>
        </w:rPr>
        <w:t>承诺</w:t>
      </w:r>
      <w:r>
        <w:rPr>
          <w:b/>
          <w:color w:val="auto"/>
          <w:sz w:val="24"/>
          <w:szCs w:val="24"/>
          <w:highlight w:val="none"/>
        </w:rPr>
        <w:t>函</w:t>
      </w:r>
      <w:bookmarkEnd w:id="291"/>
    </w:p>
    <w:p w14:paraId="525A3269">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292" w:name="_Toc5501_WPSOffice_Level2"/>
      <w:bookmarkStart w:id="293" w:name="_Toc15237_WPSOffice_Level2"/>
      <w:r>
        <w:rPr>
          <w:rFonts w:hint="eastAsia" w:ascii="宋体" w:hAnsi="宋体" w:cs="宋体"/>
          <w:b/>
          <w:bCs/>
          <w:color w:val="auto"/>
          <w:sz w:val="28"/>
          <w:szCs w:val="28"/>
          <w:highlight w:val="none"/>
        </w:rPr>
        <w:t>项目承诺函</w:t>
      </w:r>
      <w:bookmarkEnd w:id="292"/>
      <w:bookmarkEnd w:id="293"/>
    </w:p>
    <w:p w14:paraId="2013A596">
      <w:pPr>
        <w:spacing w:line="400" w:lineRule="exact"/>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rPr>
        <w:t>浙江钱塘江水利建筑工程有限公司：</w:t>
      </w:r>
    </w:p>
    <w:p w14:paraId="0F3CBBEC">
      <w:pPr>
        <w:autoSpaceDN w:val="0"/>
        <w:spacing w:line="400" w:lineRule="exact"/>
        <w:ind w:firstLine="540" w:firstLineChars="225"/>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rPr>
        <w:t xml:space="preserve">                项目的</w:t>
      </w:r>
      <w:r>
        <w:rPr>
          <w:rFonts w:hint="eastAsia" w:ascii="宋体" w:hAnsi="宋体" w:cs="宋体"/>
          <w:color w:val="auto"/>
          <w:sz w:val="24"/>
          <w:szCs w:val="24"/>
          <w:highlight w:val="none"/>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7F2F4D1A">
      <w:pPr>
        <w:widowControl/>
        <w:autoSpaceDN w:val="0"/>
        <w:spacing w:line="400" w:lineRule="exact"/>
        <w:ind w:firstLine="540" w:firstLineChars="225"/>
        <w:jc w:val="left"/>
        <w:rPr>
          <w:rFonts w:hint="default" w:ascii="宋体" w:hAnsi="宋体" w:eastAsia="宋体"/>
          <w:color w:val="auto"/>
          <w:sz w:val="24"/>
          <w:highlight w:val="none"/>
          <w:u w:val="none"/>
          <w:lang w:val="en-US" w:eastAsia="zh-CN"/>
        </w:rPr>
      </w:pPr>
      <w:r>
        <w:rPr>
          <w:rFonts w:hint="eastAsia" w:ascii="宋体" w:hAnsi="宋体" w:cs="宋体"/>
          <w:color w:val="auto"/>
          <w:sz w:val="24"/>
          <w:szCs w:val="24"/>
          <w:highlight w:val="none"/>
        </w:rPr>
        <w:t>2.</w:t>
      </w:r>
      <w:r>
        <w:rPr>
          <w:rFonts w:hint="eastAsia" w:ascii="宋体" w:hAnsi="宋体"/>
          <w:color w:val="auto"/>
          <w:sz w:val="24"/>
          <w:highlight w:val="none"/>
        </w:rPr>
        <w:t>我方愿意以（大写）</w:t>
      </w:r>
      <w:r>
        <w:rPr>
          <w:rFonts w:hint="eastAsia" w:ascii="宋体" w:hAnsi="宋体"/>
          <w:color w:val="auto"/>
          <w:sz w:val="24"/>
          <w:highlight w:val="none"/>
          <w:lang w:val="en-US" w:eastAsia="zh-CN"/>
        </w:rPr>
        <w:t>人民币</w:t>
      </w:r>
      <w:r>
        <w:rPr>
          <w:rFonts w:hint="eastAsia" w:ascii="宋体" w:hAnsi="宋体"/>
          <w:color w:val="auto"/>
          <w:sz w:val="24"/>
          <w:highlight w:val="none"/>
          <w:u w:val="single"/>
        </w:rPr>
        <w:t xml:space="preserve">                 </w:t>
      </w:r>
      <w:r>
        <w:rPr>
          <w:rFonts w:hint="eastAsia" w:ascii="宋体" w:hAnsi="宋体"/>
          <w:color w:val="auto"/>
          <w:sz w:val="24"/>
          <w:highlight w:val="none"/>
        </w:rPr>
        <w:t>元（￥</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olor w:val="auto"/>
          <w:sz w:val="24"/>
          <w:szCs w:val="24"/>
          <w:highlight w:val="none"/>
        </w:rPr>
        <w:t>的含税总报价</w:t>
      </w:r>
      <w:r>
        <w:rPr>
          <w:rFonts w:hint="eastAsia" w:ascii="宋体" w:hAnsi="宋体"/>
          <w:color w:val="auto"/>
          <w:sz w:val="24"/>
          <w:highlight w:val="none"/>
        </w:rPr>
        <w:t>承接该项目，税率</w:t>
      </w:r>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3</w:t>
      </w:r>
      <w:r>
        <w:rPr>
          <w:rFonts w:hint="eastAsia"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color w:val="auto"/>
          <w:sz w:val="24"/>
          <w:highlight w:val="none"/>
          <w:lang w:val="en-US" w:eastAsia="zh-CN"/>
        </w:rPr>
        <w:t>供货期：</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lang w:val="en-US" w:eastAsia="zh-CN"/>
        </w:rPr>
        <w:t>，质量要求：</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none"/>
          <w:lang w:val="en-US" w:eastAsia="zh-CN"/>
        </w:rPr>
        <w:t>。</w:t>
      </w:r>
    </w:p>
    <w:p w14:paraId="5282AD73">
      <w:pPr>
        <w:adjustRightInd w:val="0"/>
        <w:snapToGrid w:val="0"/>
        <w:spacing w:line="44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 我方承诺在响应有效期内不修改、撤销响应文件。</w:t>
      </w:r>
    </w:p>
    <w:p w14:paraId="3BB3A440">
      <w:pPr>
        <w:spacing w:line="400" w:lineRule="exact"/>
        <w:ind w:firstLine="480" w:firstLineChars="200"/>
        <w:rPr>
          <w:rFonts w:ascii="宋体" w:hAnsi="宋体"/>
          <w:color w:val="auto"/>
          <w:sz w:val="24"/>
          <w:szCs w:val="24"/>
          <w:highlight w:val="none"/>
        </w:rPr>
      </w:pPr>
      <w:r>
        <w:rPr>
          <w:rFonts w:ascii="宋体" w:hAnsi="宋体" w:cs="宋体"/>
          <w:color w:val="auto"/>
          <w:sz w:val="24"/>
          <w:szCs w:val="24"/>
          <w:highlight w:val="none"/>
        </w:rPr>
        <w:t>4</w:t>
      </w:r>
      <w:r>
        <w:rPr>
          <w:rFonts w:hint="eastAsia" w:ascii="宋体" w:hAnsi="宋体" w:cs="宋体"/>
          <w:color w:val="auto"/>
          <w:sz w:val="24"/>
          <w:szCs w:val="24"/>
          <w:highlight w:val="none"/>
        </w:rPr>
        <w:t>. 我方将严格按照采购文件的规定参加响应，并理解贵方对成交结果也没有解释义务。</w:t>
      </w:r>
    </w:p>
    <w:p w14:paraId="57E246A2">
      <w:pPr>
        <w:spacing w:line="400" w:lineRule="exact"/>
        <w:ind w:firstLine="480" w:firstLineChars="200"/>
        <w:rPr>
          <w:rFonts w:ascii="宋体" w:hAns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 如我方成交：</w:t>
      </w:r>
    </w:p>
    <w:p w14:paraId="344AC18D">
      <w:pPr>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（l）我方承诺本响应函在采购文件规定的提交响应文件截止时间后，在采购文件规定的响应有效期期满前对我方具有约束力，且随时准备接受你方发出的成交通知书。</w:t>
      </w:r>
    </w:p>
    <w:p w14:paraId="6F178AAF">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（2）我方承诺在收到成交通知书后，在成交通知书规定的期限内与你方签订合同。</w:t>
      </w:r>
    </w:p>
    <w:p w14:paraId="5BD1CC75">
      <w:pPr>
        <w:spacing w:line="400" w:lineRule="exact"/>
        <w:ind w:firstLine="480" w:firstLineChars="200"/>
        <w:rPr>
          <w:rFonts w:ascii="宋体" w:hAnsi="宋体"/>
          <w:color w:val="auto"/>
          <w:sz w:val="24"/>
          <w:szCs w:val="24"/>
          <w:highlight w:val="none"/>
        </w:rPr>
      </w:pPr>
      <w:r>
        <w:rPr>
          <w:rFonts w:hint="eastAsia" w:ascii="宋体" w:hAnsi="宋体"/>
          <w:color w:val="auto"/>
          <w:sz w:val="24"/>
          <w:szCs w:val="24"/>
          <w:highlight w:val="none"/>
        </w:rPr>
        <w:t>（3）我方承诺</w:t>
      </w:r>
      <w:r>
        <w:rPr>
          <w:rFonts w:hint="eastAsia" w:ascii="宋体" w:hAnsi="宋体" w:cs="宋体"/>
          <w:color w:val="auto"/>
          <w:sz w:val="24"/>
          <w:szCs w:val="24"/>
          <w:highlight w:val="none"/>
        </w:rPr>
        <w:t>在合同协议书正式签署生效之前，本承诺函连同你方的成交通知书将构成我们双方之间共同遵守的文件，对双方具有约束力。</w:t>
      </w:r>
    </w:p>
    <w:p w14:paraId="65296810">
      <w:pPr>
        <w:spacing w:line="400" w:lineRule="exact"/>
        <w:ind w:firstLine="480" w:firstLineChars="200"/>
        <w:rPr>
          <w:rFonts w:hint="eastAsia" w:ascii="宋体" w:hAnsi="宋体"/>
          <w:color w:val="auto"/>
          <w:sz w:val="24"/>
          <w:szCs w:val="24"/>
          <w:highlight w:val="none"/>
        </w:rPr>
      </w:pPr>
      <w:r>
        <w:rPr>
          <w:rFonts w:ascii="宋体" w:hAnsi="宋体"/>
          <w:color w:val="auto"/>
          <w:sz w:val="24"/>
          <w:szCs w:val="24"/>
          <w:highlight w:val="none"/>
        </w:rPr>
        <w:t>6</w:t>
      </w:r>
      <w:r>
        <w:rPr>
          <w:rFonts w:hint="eastAsia" w:ascii="宋体" w:hAnsi="宋体"/>
          <w:color w:val="auto"/>
          <w:sz w:val="24"/>
          <w:szCs w:val="24"/>
          <w:highlight w:val="none"/>
        </w:rPr>
        <w:t>. 我方在此声明，所递交的响应文件及有关资料内容完整、真实和准确。</w:t>
      </w:r>
    </w:p>
    <w:p w14:paraId="0313056A">
      <w:pPr>
        <w:spacing w:line="400" w:lineRule="exact"/>
        <w:ind w:firstLine="480" w:firstLineChars="200"/>
        <w:rPr>
          <w:rFonts w:hint="eastAsia" w:ascii="宋体" w:hAnsi="宋体"/>
          <w:color w:val="auto"/>
          <w:sz w:val="24"/>
          <w:szCs w:val="24"/>
          <w:highlight w:val="none"/>
        </w:rPr>
      </w:pPr>
    </w:p>
    <w:p w14:paraId="73A9F1B3">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供应商（盖单位</w:t>
      </w:r>
      <w:r>
        <w:rPr>
          <w:rFonts w:hint="eastAsia" w:ascii="宋体" w:hAnsi="宋体" w:cs="宋体"/>
          <w:color w:val="auto"/>
          <w:sz w:val="24"/>
          <w:szCs w:val="24"/>
          <w:highlight w:val="none"/>
          <w:lang w:val="en-US" w:eastAsia="zh-CN"/>
        </w:rPr>
        <w:t>公</w:t>
      </w:r>
      <w:r>
        <w:rPr>
          <w:rFonts w:hint="eastAsia" w:ascii="宋体" w:hAnsi="宋体" w:cs="宋体"/>
          <w:color w:val="auto"/>
          <w:sz w:val="24"/>
          <w:szCs w:val="24"/>
          <w:highlight w:val="none"/>
        </w:rPr>
        <w:t>章）：</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315D1958">
      <w:pPr>
        <w:spacing w:line="440" w:lineRule="exact"/>
        <w:ind w:firstLine="1980"/>
        <w:rPr>
          <w:rFonts w:hint="eastAsia" w:ascii="宋体" w:hAnsi="宋体" w:cs="宋体"/>
          <w:color w:val="auto"/>
          <w:sz w:val="24"/>
          <w:szCs w:val="24"/>
          <w:highlight w:val="none"/>
          <w:u w:val="single"/>
        </w:rPr>
      </w:pPr>
    </w:p>
    <w:p w14:paraId="509DFB79">
      <w:pPr>
        <w:spacing w:line="440" w:lineRule="exact"/>
        <w:ind w:firstLine="1980"/>
        <w:rPr>
          <w:rFonts w:ascii="宋体" w:hAnsi="宋体" w:cs="宋体"/>
          <w:color w:val="auto"/>
          <w:sz w:val="24"/>
          <w:szCs w:val="24"/>
          <w:highlight w:val="none"/>
          <w:u w:val="single"/>
        </w:rPr>
      </w:pPr>
      <w:r>
        <w:rPr>
          <w:rFonts w:hint="eastAsia" w:ascii="宋体" w:hAnsi="宋体" w:cs="宋体"/>
          <w:color w:val="auto"/>
          <w:sz w:val="24"/>
          <w:szCs w:val="24"/>
          <w:highlight w:val="none"/>
        </w:rPr>
        <w:t>法定代表人或其委托代理人（签字</w:t>
      </w:r>
      <w:r>
        <w:rPr>
          <w:rFonts w:hint="eastAsia" w:ascii="宋体" w:hAnsi="宋体" w:cs="宋体"/>
          <w:color w:val="auto"/>
          <w:sz w:val="24"/>
          <w:szCs w:val="24"/>
          <w:highlight w:val="none"/>
          <w:lang w:eastAsia="zh-CN"/>
        </w:rPr>
        <w:t>或盖章</w:t>
      </w:r>
      <w:r>
        <w:rPr>
          <w:rFonts w:hint="eastAsia" w:ascii="宋体" w:hAnsi="宋体" w:cs="宋体"/>
          <w:color w:val="auto"/>
          <w:sz w:val="24"/>
          <w:szCs w:val="24"/>
          <w:highlight w:val="none"/>
        </w:rPr>
        <w:t>）：</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42109B1B">
      <w:pPr>
        <w:wordWrap w:val="0"/>
        <w:spacing w:line="440" w:lineRule="exact"/>
        <w:jc w:val="right"/>
        <w:rPr>
          <w:rFonts w:hint="default" w:ascii="宋体" w:hAnsi="宋体" w:eastAsia="宋体"/>
          <w:color w:val="auto"/>
          <w:sz w:val="24"/>
          <w:szCs w:val="24"/>
          <w:highlight w:val="none"/>
          <w:u w:val="none"/>
          <w:lang w:val="en-US" w:eastAsia="zh-CN"/>
        </w:rPr>
      </w:pP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rPr>
        <w:t>年</w:t>
      </w:r>
      <w:r>
        <w:rPr>
          <w:rFonts w:ascii="宋体" w:hAnsi="宋体"/>
          <w:color w:val="auto"/>
          <w:sz w:val="24"/>
          <w:szCs w:val="24"/>
          <w:highlight w:val="none"/>
          <w:u w:val="single"/>
        </w:rPr>
        <w:t xml:space="preserve">    </w:t>
      </w:r>
      <w:r>
        <w:rPr>
          <w:rFonts w:hint="eastAsia" w:ascii="宋体" w:hAnsi="宋体"/>
          <w:color w:val="auto"/>
          <w:sz w:val="24"/>
          <w:szCs w:val="24"/>
          <w:highlight w:val="none"/>
        </w:rPr>
        <w:t>月</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none"/>
          <w:lang w:val="en-US" w:eastAsia="zh-CN"/>
        </w:rPr>
        <w:t>日</w:t>
      </w:r>
    </w:p>
    <w:p w14:paraId="4C9CAE15">
      <w:pPr>
        <w:spacing w:line="440" w:lineRule="exact"/>
        <w:jc w:val="right"/>
        <w:rPr>
          <w:rFonts w:hint="eastAsia" w:ascii="宋体" w:hAnsi="宋体"/>
          <w:color w:val="auto"/>
          <w:sz w:val="24"/>
          <w:szCs w:val="24"/>
          <w:highlight w:val="none"/>
        </w:rPr>
      </w:pPr>
    </w:p>
    <w:p w14:paraId="5AE11474">
      <w:pPr>
        <w:pStyle w:val="3"/>
        <w:jc w:val="left"/>
        <w:rPr>
          <w:b w:val="0"/>
          <w:bCs w:val="0"/>
          <w:color w:val="auto"/>
          <w:highlight w:val="none"/>
        </w:rPr>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pPr>
    </w:p>
    <w:p w14:paraId="109DDFA6">
      <w:pPr>
        <w:pStyle w:val="3"/>
        <w:jc w:val="left"/>
        <w:rPr>
          <w:rFonts w:hint="eastAsia"/>
          <w:color w:val="auto"/>
          <w:highlight w:val="none"/>
        </w:rPr>
      </w:pPr>
      <w:bookmarkStart w:id="294" w:name="_Toc14511"/>
      <w:bookmarkStart w:id="295" w:name="_Toc7843"/>
      <w:bookmarkStart w:id="296" w:name="_Toc91764968"/>
      <w:bookmarkStart w:id="297" w:name="_Toc10519"/>
      <w:bookmarkStart w:id="298" w:name="_Toc13671"/>
      <w:r>
        <w:rPr>
          <w:rFonts w:hint="eastAsia"/>
          <w:color w:val="auto"/>
          <w:highlight w:val="none"/>
        </w:rPr>
        <w:t>格式</w:t>
      </w:r>
      <w:r>
        <w:rPr>
          <w:rFonts w:hint="eastAsia"/>
          <w:color w:val="auto"/>
          <w:highlight w:val="none"/>
          <w:lang w:val="en-US" w:eastAsia="zh-CN"/>
        </w:rPr>
        <w:t>8</w:t>
      </w:r>
      <w:r>
        <w:rPr>
          <w:rFonts w:hint="eastAsia"/>
          <w:color w:val="auto"/>
          <w:highlight w:val="none"/>
        </w:rPr>
        <w:t>：报价表</w:t>
      </w:r>
      <w:bookmarkEnd w:id="294"/>
      <w:bookmarkEnd w:id="295"/>
      <w:bookmarkEnd w:id="296"/>
      <w:bookmarkEnd w:id="297"/>
      <w:bookmarkEnd w:id="298"/>
    </w:p>
    <w:tbl>
      <w:tblPr>
        <w:tblStyle w:val="46"/>
        <w:tblW w:w="5141" w:type="pct"/>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96"/>
        <w:gridCol w:w="919"/>
        <w:gridCol w:w="2467"/>
        <w:gridCol w:w="944"/>
        <w:gridCol w:w="901"/>
        <w:gridCol w:w="693"/>
        <w:gridCol w:w="747"/>
        <w:gridCol w:w="777"/>
        <w:gridCol w:w="725"/>
      </w:tblGrid>
      <w:tr w14:paraId="39A0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ign w:val="center"/>
          </w:tcPr>
          <w:p w14:paraId="52BD03E5">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宋体" w:cs="宋体"/>
                <w:i w:val="0"/>
                <w:iCs w:val="0"/>
                <w:color w:val="000000"/>
                <w:kern w:val="0"/>
                <w:sz w:val="18"/>
                <w:szCs w:val="18"/>
                <w:highlight w:val="none"/>
                <w:u w:val="none"/>
                <w:lang w:val="en-US" w:eastAsia="zh-CN" w:bidi="ar"/>
              </w:rPr>
              <w:t>序号</w:t>
            </w:r>
          </w:p>
        </w:tc>
        <w:tc>
          <w:tcPr>
            <w:tcW w:w="524" w:type="pct"/>
            <w:tcBorders>
              <w:top w:val="single" w:color="000000" w:sz="4" w:space="0"/>
              <w:left w:val="single" w:color="000000" w:sz="4" w:space="0"/>
              <w:bottom w:val="single" w:color="000000" w:sz="4" w:space="0"/>
              <w:right w:val="single" w:color="000000" w:sz="4" w:space="0"/>
            </w:tcBorders>
            <w:noWrap/>
            <w:vAlign w:val="center"/>
          </w:tcPr>
          <w:p w14:paraId="23674B33">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货物名称</w:t>
            </w: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342BCA3E">
            <w:pPr>
              <w:keepNext w:val="0"/>
              <w:keepLines w:val="0"/>
              <w:widowControl/>
              <w:suppressLineNumbers w:val="0"/>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eastAsia="宋体" w:cs="宋体"/>
                <w:i w:val="0"/>
                <w:iCs w:val="0"/>
                <w:color w:val="000000"/>
                <w:kern w:val="0"/>
                <w:sz w:val="18"/>
                <w:szCs w:val="18"/>
                <w:highlight w:val="none"/>
                <w:u w:val="none"/>
                <w:lang w:val="en-US" w:eastAsia="zh-CN" w:bidi="ar"/>
              </w:rPr>
              <w:t>规格型号</w:t>
            </w:r>
          </w:p>
        </w:tc>
        <w:tc>
          <w:tcPr>
            <w:tcW w:w="538" w:type="pct"/>
            <w:tcBorders>
              <w:top w:val="single" w:color="000000" w:sz="4" w:space="0"/>
              <w:left w:val="single" w:color="000000" w:sz="4" w:space="0"/>
              <w:bottom w:val="single" w:color="000000" w:sz="4" w:space="0"/>
              <w:right w:val="single" w:color="000000" w:sz="4" w:space="0"/>
            </w:tcBorders>
            <w:noWrap/>
            <w:vAlign w:val="center"/>
          </w:tcPr>
          <w:p w14:paraId="0D8D52B4">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数量</w:t>
            </w:r>
          </w:p>
        </w:tc>
        <w:tc>
          <w:tcPr>
            <w:tcW w:w="513" w:type="pct"/>
            <w:tcBorders>
              <w:top w:val="single" w:color="000000" w:sz="4" w:space="0"/>
              <w:left w:val="single" w:color="000000" w:sz="4" w:space="0"/>
              <w:bottom w:val="single" w:color="000000" w:sz="4" w:space="0"/>
              <w:right w:val="single" w:color="000000" w:sz="4" w:space="0"/>
            </w:tcBorders>
            <w:noWrap/>
            <w:vAlign w:val="center"/>
          </w:tcPr>
          <w:p w14:paraId="0991621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计量单位</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B67B705">
            <w:pPr>
              <w:keepNext w:val="0"/>
              <w:keepLines w:val="0"/>
              <w:widowControl/>
              <w:suppressLineNumbers w:val="0"/>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含税单价</w:t>
            </w:r>
          </w:p>
          <w:p w14:paraId="4183ADA6">
            <w:pPr>
              <w:keepNext w:val="0"/>
              <w:keepLines w:val="0"/>
              <w:widowControl/>
              <w:suppressLineNumbers w:val="0"/>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（元）</w:t>
            </w: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D0E150E">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增值税税率或征收率（%）</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B8DF9CA">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含税总价（元）</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07CBB42">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18"/>
                <w:szCs w:val="18"/>
                <w:highlight w:val="none"/>
                <w:u w:val="none"/>
                <w:lang w:val="en-US" w:eastAsia="zh-CN" w:bidi="ar"/>
              </w:rPr>
              <w:t>备注</w:t>
            </w:r>
          </w:p>
        </w:tc>
      </w:tr>
      <w:tr w14:paraId="4184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DB2EF4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5D9689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9795E6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40*50cm黑胶车贴+1mm镀锌钢板+安装（0.4*0.5）ｍ（单个）</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E144C7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8040B3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BD86138">
            <w:pPr>
              <w:widowControl/>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BB0B0ED">
            <w:pPr>
              <w:jc w:val="center"/>
              <w:rPr>
                <w:rFonts w:hint="eastAsia" w:ascii="宋体" w:hAnsi="宋体" w:eastAsia="宋体" w:cs="宋体"/>
                <w:i w:val="0"/>
                <w:iCs w:val="0"/>
                <w:color w:val="000000"/>
                <w:sz w:val="18"/>
                <w:szCs w:val="18"/>
                <w:highlight w:val="none"/>
                <w:u w:val="none"/>
                <w:lang w:val="en-US" w:eastAsia="zh-CN"/>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9B574C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0EA641E">
            <w:pPr>
              <w:jc w:val="center"/>
              <w:rPr>
                <w:rFonts w:hint="eastAsia" w:ascii="宋体" w:hAnsi="宋体" w:eastAsia="宋体" w:cs="宋体"/>
                <w:i w:val="0"/>
                <w:iCs w:val="0"/>
                <w:color w:val="000000"/>
                <w:sz w:val="18"/>
                <w:szCs w:val="18"/>
                <w:highlight w:val="none"/>
                <w:u w:val="none"/>
              </w:rPr>
            </w:pPr>
          </w:p>
        </w:tc>
      </w:tr>
      <w:tr w14:paraId="03065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0BA30D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A64C7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提示标识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8E8A85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200*50cm黑胶车贴+1mm镀锌钢板+安装(2*0.5)ｍ</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9646B9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6881D7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C951CC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FBFD96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3E7A44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4FEFFE3">
            <w:pPr>
              <w:jc w:val="center"/>
              <w:rPr>
                <w:rFonts w:hint="eastAsia" w:ascii="宋体" w:hAnsi="宋体" w:eastAsia="宋体" w:cs="宋体"/>
                <w:i w:val="0"/>
                <w:iCs w:val="0"/>
                <w:color w:val="000000"/>
                <w:sz w:val="18"/>
                <w:szCs w:val="18"/>
                <w:highlight w:val="none"/>
                <w:u w:val="none"/>
              </w:rPr>
            </w:pPr>
          </w:p>
        </w:tc>
      </w:tr>
      <w:tr w14:paraId="684A2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8F18590">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F5E983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自制设备验收牌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88AAA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40*50cm1mm镀锌板+黑胶车贴</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5671C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96FA00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A144DE0">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1782AC">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ECBD31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2D7C057">
            <w:pPr>
              <w:jc w:val="center"/>
              <w:rPr>
                <w:rFonts w:hint="eastAsia" w:ascii="宋体" w:hAnsi="宋体" w:eastAsia="宋体" w:cs="宋体"/>
                <w:i w:val="0"/>
                <w:iCs w:val="0"/>
                <w:color w:val="000000"/>
                <w:sz w:val="18"/>
                <w:szCs w:val="18"/>
                <w:highlight w:val="none"/>
                <w:u w:val="none"/>
              </w:rPr>
            </w:pPr>
          </w:p>
        </w:tc>
      </w:tr>
      <w:tr w14:paraId="2456C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74FB30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52A189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条幅布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65E7B8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70cm高布质条幅+安装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833A1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760AB5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974B13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AF23CC3">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6A92AF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0DCEA9E">
            <w:pPr>
              <w:jc w:val="center"/>
              <w:rPr>
                <w:rFonts w:hint="eastAsia" w:ascii="宋体" w:hAnsi="宋体" w:eastAsia="宋体" w:cs="宋体"/>
                <w:i w:val="0"/>
                <w:iCs w:val="0"/>
                <w:color w:val="000000"/>
                <w:sz w:val="18"/>
                <w:szCs w:val="18"/>
                <w:highlight w:val="none"/>
                <w:u w:val="none"/>
              </w:rPr>
            </w:pPr>
          </w:p>
        </w:tc>
      </w:tr>
      <w:tr w14:paraId="6032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AA96B0D">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90EB90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凸面镜</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E1271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100cm直径+7.5cm管径+300cm管柱-耐压PC镜面+ABS塑料外壳+安拆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8CF9F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EA3A8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C8A5DF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24948C8">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E615C84">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ADE237E">
            <w:pPr>
              <w:jc w:val="center"/>
              <w:rPr>
                <w:rFonts w:hint="eastAsia" w:ascii="宋体" w:hAnsi="宋体" w:eastAsia="宋体" w:cs="宋体"/>
                <w:i w:val="0"/>
                <w:iCs w:val="0"/>
                <w:color w:val="000000"/>
                <w:sz w:val="18"/>
                <w:szCs w:val="18"/>
                <w:highlight w:val="none"/>
                <w:u w:val="none"/>
              </w:rPr>
            </w:pPr>
          </w:p>
        </w:tc>
      </w:tr>
      <w:tr w14:paraId="12AA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8653F8A">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9B7EDD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3A4D5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60cm直径+7.5cm管径+300cm管柱+1.2mm铝板+高亮晶格反光膜单牌+安拆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D81A08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88EF60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9D91161">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6AB06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E1C8EF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48EC10C">
            <w:pPr>
              <w:jc w:val="center"/>
              <w:rPr>
                <w:rFonts w:hint="eastAsia" w:ascii="宋体" w:hAnsi="宋体" w:eastAsia="宋体" w:cs="宋体"/>
                <w:i w:val="0"/>
                <w:iCs w:val="0"/>
                <w:color w:val="000000"/>
                <w:sz w:val="18"/>
                <w:szCs w:val="18"/>
                <w:highlight w:val="none"/>
                <w:u w:val="none"/>
              </w:rPr>
            </w:pPr>
          </w:p>
        </w:tc>
      </w:tr>
      <w:tr w14:paraId="2ED9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89DF89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19073A4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道路交通安全标识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1927FB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120*80cm高亮晶格反光膜+铝板+7.5cm管径+300cm立柱+安拆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3A653D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CC21B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DD0018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9FA006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581CD63">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472B9C7">
            <w:pPr>
              <w:jc w:val="center"/>
              <w:rPr>
                <w:rFonts w:hint="eastAsia" w:ascii="宋体" w:hAnsi="宋体" w:eastAsia="宋体" w:cs="宋体"/>
                <w:i w:val="0"/>
                <w:iCs w:val="0"/>
                <w:color w:val="000000"/>
                <w:sz w:val="18"/>
                <w:szCs w:val="18"/>
                <w:highlight w:val="none"/>
                <w:u w:val="none"/>
              </w:rPr>
            </w:pPr>
          </w:p>
        </w:tc>
      </w:tr>
      <w:tr w14:paraId="2996D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2AEA28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086ACF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安全警示宣传标牌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3F5CED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100*150cm双立柱+1mm镀锌板+黑胶车贴+安拆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0810E8B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07B41D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F3F464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9604894">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F0F320E">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46216DF">
            <w:pPr>
              <w:jc w:val="center"/>
              <w:rPr>
                <w:rFonts w:hint="eastAsia" w:ascii="宋体" w:hAnsi="宋体" w:eastAsia="宋体" w:cs="宋体"/>
                <w:i w:val="0"/>
                <w:iCs w:val="0"/>
                <w:color w:val="000000"/>
                <w:sz w:val="18"/>
                <w:szCs w:val="18"/>
                <w:highlight w:val="none"/>
                <w:u w:val="none"/>
              </w:rPr>
            </w:pPr>
          </w:p>
        </w:tc>
      </w:tr>
      <w:tr w14:paraId="3D3D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2133A5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F20DAC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铁马</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CD745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高1.2米，直径48mm钢管+喷漆+红色反光膜，送货到场+维护</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D8AE3F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47C86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388EEE7C">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30D1FA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C12B0D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0F3AA2B">
            <w:pPr>
              <w:jc w:val="center"/>
              <w:rPr>
                <w:rFonts w:hint="eastAsia" w:ascii="宋体" w:hAnsi="宋体" w:eastAsia="宋体" w:cs="宋体"/>
                <w:i w:val="0"/>
                <w:iCs w:val="0"/>
                <w:color w:val="000000"/>
                <w:sz w:val="18"/>
                <w:szCs w:val="18"/>
                <w:highlight w:val="none"/>
                <w:u w:val="none"/>
              </w:rPr>
            </w:pPr>
          </w:p>
        </w:tc>
      </w:tr>
      <w:tr w14:paraId="616C5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3"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9EC5914">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10</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60138C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标准化固定围栏</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E3CE1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高1.2米直径48mm钢管+喷漆+红色反光膜+安拆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738D56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F62779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0E548A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AD444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5569148">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D61564D">
            <w:pPr>
              <w:jc w:val="center"/>
              <w:rPr>
                <w:rFonts w:hint="eastAsia" w:ascii="宋体" w:hAnsi="宋体" w:eastAsia="宋体" w:cs="宋体"/>
                <w:i w:val="0"/>
                <w:iCs w:val="0"/>
                <w:color w:val="000000"/>
                <w:sz w:val="18"/>
                <w:szCs w:val="18"/>
                <w:highlight w:val="none"/>
                <w:u w:val="none"/>
              </w:rPr>
            </w:pPr>
          </w:p>
        </w:tc>
      </w:tr>
      <w:tr w14:paraId="751C6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A6A23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96F2BB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变压器护栏</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00848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pvc塑钢+8*8cm塑钢立柱</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13C6E1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D7C855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4AECE43">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1A18AB">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8A48F35">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8E7D190">
            <w:pPr>
              <w:jc w:val="center"/>
              <w:rPr>
                <w:rFonts w:hint="eastAsia" w:ascii="宋体" w:hAnsi="宋体" w:eastAsia="宋体" w:cs="宋体"/>
                <w:i w:val="0"/>
                <w:iCs w:val="0"/>
                <w:color w:val="000000"/>
                <w:sz w:val="18"/>
                <w:szCs w:val="18"/>
                <w:highlight w:val="none"/>
                <w:u w:val="none"/>
              </w:rPr>
            </w:pPr>
          </w:p>
        </w:tc>
      </w:tr>
      <w:tr w14:paraId="2868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792DAA9">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8954AA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彩钢板隔档</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C3E5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铁皮材质+安拆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A8F25E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29C2293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13FED2D9">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E3C251">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8CC044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3CD0B14">
            <w:pPr>
              <w:jc w:val="center"/>
              <w:rPr>
                <w:rFonts w:hint="eastAsia" w:ascii="宋体" w:hAnsi="宋体" w:eastAsia="宋体" w:cs="宋体"/>
                <w:i w:val="0"/>
                <w:iCs w:val="0"/>
                <w:color w:val="000000"/>
                <w:sz w:val="18"/>
                <w:szCs w:val="18"/>
                <w:highlight w:val="none"/>
                <w:u w:val="none"/>
              </w:rPr>
            </w:pPr>
          </w:p>
        </w:tc>
      </w:tr>
      <w:tr w14:paraId="049C7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4F93EA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76FACB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悬浮大字（烤漆字）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ABC622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8*8cm镀锌方钢双立柱+斜撑（4*4角铁）+镀锌方通牌面支架+镀锌板烤漆字+安拆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D7A60E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E6F45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6FC3F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FC5430">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03C03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0A78514">
            <w:pPr>
              <w:jc w:val="center"/>
              <w:rPr>
                <w:rFonts w:hint="eastAsia" w:ascii="宋体" w:hAnsi="宋体" w:eastAsia="宋体" w:cs="宋体"/>
                <w:i w:val="0"/>
                <w:iCs w:val="0"/>
                <w:color w:val="000000"/>
                <w:sz w:val="18"/>
                <w:szCs w:val="18"/>
                <w:highlight w:val="none"/>
                <w:u w:val="none"/>
              </w:rPr>
            </w:pPr>
          </w:p>
        </w:tc>
      </w:tr>
      <w:tr w14:paraId="3C2D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DAD9CE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E7A021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不锈钢发光字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48672C0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80cm亚克力+不锈钢字壳+led光源+3*3镀锌管支架+安装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3F9E3F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B91E42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6C5E4F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8583C0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757B26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F66A1B4">
            <w:pPr>
              <w:jc w:val="center"/>
              <w:rPr>
                <w:rFonts w:hint="eastAsia" w:ascii="宋体" w:hAnsi="宋体" w:eastAsia="宋体" w:cs="宋体"/>
                <w:i w:val="0"/>
                <w:iCs w:val="0"/>
                <w:color w:val="000000"/>
                <w:sz w:val="18"/>
                <w:szCs w:val="18"/>
                <w:highlight w:val="none"/>
                <w:u w:val="none"/>
              </w:rPr>
            </w:pPr>
          </w:p>
        </w:tc>
      </w:tr>
      <w:tr w14:paraId="2B53B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A1CFA97">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2F8C5BF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B3D369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8*8cm双立柱+200cm*150cm双面画面，整体2.4*2.16米，固定（配套膨胀螺丝）+送货到场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07DD05C">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10A706F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4765EA7">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DEF33E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123604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1D00EFA">
            <w:pPr>
              <w:jc w:val="center"/>
              <w:rPr>
                <w:rFonts w:hint="eastAsia" w:ascii="宋体" w:hAnsi="宋体" w:eastAsia="宋体" w:cs="宋体"/>
                <w:i w:val="0"/>
                <w:iCs w:val="0"/>
                <w:color w:val="000000"/>
                <w:sz w:val="18"/>
                <w:szCs w:val="18"/>
                <w:highlight w:val="none"/>
                <w:u w:val="none"/>
              </w:rPr>
            </w:pPr>
          </w:p>
        </w:tc>
      </w:tr>
      <w:tr w14:paraId="0AC50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1D9A10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BCBDFC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铁艺烤漆五排一图</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F4703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200cm*8*8cm双立柱+*3*3cm镀锌管+1mm镀锌钢板+10cm槽钢喷漆+亚克力uv打印+亚克力卡槽+送货到场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C465C0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0D337F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AFE9A5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E1679C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971A06F">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4676872">
            <w:pPr>
              <w:jc w:val="center"/>
              <w:rPr>
                <w:rFonts w:hint="eastAsia" w:ascii="宋体" w:hAnsi="宋体" w:eastAsia="宋体" w:cs="宋体"/>
                <w:i w:val="0"/>
                <w:iCs w:val="0"/>
                <w:color w:val="000000"/>
                <w:sz w:val="18"/>
                <w:szCs w:val="18"/>
                <w:highlight w:val="none"/>
                <w:u w:val="none"/>
              </w:rPr>
            </w:pPr>
          </w:p>
        </w:tc>
      </w:tr>
      <w:tr w14:paraId="2A3F3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93FF9FF">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C24FCB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一级配电箱防护棚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C7E2B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140*100*220cm防护棚30*30*1.3mm方钢焊接+白色喷漆+红色反光膜+安拆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CB344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719C8A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3E85C0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0CB3256">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6FD4AB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041A09F">
            <w:pPr>
              <w:jc w:val="center"/>
              <w:rPr>
                <w:rFonts w:hint="eastAsia" w:ascii="宋体" w:hAnsi="宋体" w:eastAsia="宋体" w:cs="宋体"/>
                <w:i w:val="0"/>
                <w:iCs w:val="0"/>
                <w:color w:val="000000"/>
                <w:sz w:val="18"/>
                <w:szCs w:val="18"/>
                <w:highlight w:val="none"/>
                <w:u w:val="none"/>
              </w:rPr>
            </w:pPr>
          </w:p>
        </w:tc>
      </w:tr>
      <w:tr w14:paraId="5CA6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ED6D01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28E737D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二级配电箱防护棚</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83E6A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120*80*200cm防护棚30*30*1.3mm方钢焊接+白色喷漆+红色反光膜+安拆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C424C9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BCC0C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E0A776D">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F0AAB24">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2C454C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06F13E5">
            <w:pPr>
              <w:jc w:val="center"/>
              <w:rPr>
                <w:rFonts w:hint="eastAsia" w:ascii="宋体" w:hAnsi="宋体" w:eastAsia="宋体" w:cs="宋体"/>
                <w:i w:val="0"/>
                <w:iCs w:val="0"/>
                <w:color w:val="000000"/>
                <w:sz w:val="18"/>
                <w:szCs w:val="18"/>
                <w:highlight w:val="none"/>
                <w:u w:val="none"/>
              </w:rPr>
            </w:pPr>
          </w:p>
        </w:tc>
      </w:tr>
      <w:tr w14:paraId="5031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F8E5B6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19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6CE86A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户外写真</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B22983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黑胶可移</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37022FA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A830C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B4E94EA">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91574C1">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E54981D">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66CFBF6C">
            <w:pPr>
              <w:jc w:val="center"/>
              <w:rPr>
                <w:rFonts w:hint="eastAsia" w:ascii="宋体" w:hAnsi="宋体" w:eastAsia="宋体" w:cs="宋体"/>
                <w:i w:val="0"/>
                <w:iCs w:val="0"/>
                <w:color w:val="000000"/>
                <w:sz w:val="18"/>
                <w:szCs w:val="18"/>
                <w:highlight w:val="none"/>
                <w:u w:val="none"/>
              </w:rPr>
            </w:pPr>
          </w:p>
        </w:tc>
      </w:tr>
      <w:tr w14:paraId="765D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1E5208BB">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20</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7D7E3B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9340C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黑胶车贴+KT版</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4A5EC4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DBF198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BE7C674">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7173F675">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48D24FA">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2F2A493">
            <w:pPr>
              <w:jc w:val="center"/>
              <w:rPr>
                <w:rFonts w:hint="eastAsia" w:ascii="宋体" w:hAnsi="宋体" w:eastAsia="宋体" w:cs="宋体"/>
                <w:i w:val="0"/>
                <w:iCs w:val="0"/>
                <w:color w:val="000000"/>
                <w:sz w:val="18"/>
                <w:szCs w:val="18"/>
                <w:highlight w:val="none"/>
                <w:u w:val="none"/>
              </w:rPr>
            </w:pPr>
          </w:p>
        </w:tc>
      </w:tr>
      <w:tr w14:paraId="2400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0D5AFD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21</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40642C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2AA534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黑胶车贴+pvc板</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5122E74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2BED9D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8BD74F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5669DAB">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8D42A80">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50E29B5">
            <w:pPr>
              <w:jc w:val="center"/>
              <w:rPr>
                <w:rFonts w:hint="eastAsia" w:ascii="宋体" w:hAnsi="宋体" w:eastAsia="宋体" w:cs="宋体"/>
                <w:i w:val="0"/>
                <w:iCs w:val="0"/>
                <w:color w:val="000000"/>
                <w:sz w:val="18"/>
                <w:szCs w:val="18"/>
                <w:highlight w:val="none"/>
                <w:u w:val="none"/>
              </w:rPr>
            </w:pPr>
          </w:p>
        </w:tc>
      </w:tr>
      <w:tr w14:paraId="3247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48A9655C">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22</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8F907C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洞室交叉提示牌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7FD42B6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240*50cm黑胶车贴+铁皮+3*3cm镀锌管框架+8*8cm立柱+安装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A1BF1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259CF1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5E47B268">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62AB0082">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729701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F2440B0">
            <w:pPr>
              <w:jc w:val="center"/>
              <w:rPr>
                <w:rFonts w:hint="eastAsia" w:ascii="宋体" w:hAnsi="宋体" w:eastAsia="宋体" w:cs="宋体"/>
                <w:i w:val="0"/>
                <w:iCs w:val="0"/>
                <w:color w:val="000000"/>
                <w:sz w:val="18"/>
                <w:szCs w:val="18"/>
                <w:highlight w:val="none"/>
                <w:u w:val="none"/>
              </w:rPr>
            </w:pPr>
          </w:p>
        </w:tc>
      </w:tr>
      <w:tr w14:paraId="0677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8987585">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23</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4ACE585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安全警示牌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D05D3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1.5*1米4*6方管铁架+1.5镀锌板+黑胶车贴+送货到场</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BDDB24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120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74ACDBCE">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FD54E7D">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0D9616C">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E62E25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5C15D48">
            <w:pPr>
              <w:jc w:val="center"/>
              <w:rPr>
                <w:rFonts w:hint="eastAsia" w:ascii="宋体" w:hAnsi="宋体" w:eastAsia="宋体" w:cs="宋体"/>
                <w:i w:val="0"/>
                <w:iCs w:val="0"/>
                <w:color w:val="000000"/>
                <w:sz w:val="18"/>
                <w:szCs w:val="18"/>
                <w:highlight w:val="none"/>
                <w:u w:val="none"/>
              </w:rPr>
            </w:pPr>
          </w:p>
        </w:tc>
      </w:tr>
      <w:tr w14:paraId="3ABDA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77A1223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24</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1DF9F9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诱导标识</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B06695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40*60cm铝板+高亮反光膜+Y型立柱+安装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4AD2DAC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280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5F1148A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C28D55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23AD953D">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9E25052">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4B8C8BDC">
            <w:pPr>
              <w:jc w:val="center"/>
              <w:rPr>
                <w:rFonts w:hint="eastAsia" w:ascii="宋体" w:hAnsi="宋体" w:eastAsia="宋体" w:cs="宋体"/>
                <w:i w:val="0"/>
                <w:iCs w:val="0"/>
                <w:color w:val="000000"/>
                <w:sz w:val="18"/>
                <w:szCs w:val="18"/>
                <w:highlight w:val="none"/>
                <w:u w:val="none"/>
              </w:rPr>
            </w:pPr>
          </w:p>
        </w:tc>
      </w:tr>
      <w:tr w14:paraId="792E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5E2BCE91">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25</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3073F3E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黑底喷绘布</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57E0F6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220克黑底加厚喷绘布+安装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605A5E25">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2000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68F297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0D1D1F99">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0095F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52BE2A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3BCC0855">
            <w:pPr>
              <w:jc w:val="center"/>
              <w:rPr>
                <w:rFonts w:hint="eastAsia" w:ascii="宋体" w:hAnsi="宋体" w:eastAsia="宋体" w:cs="宋体"/>
                <w:i w:val="0"/>
                <w:iCs w:val="0"/>
                <w:color w:val="000000"/>
                <w:sz w:val="18"/>
                <w:szCs w:val="18"/>
                <w:highlight w:val="none"/>
                <w:u w:val="none"/>
              </w:rPr>
            </w:pPr>
          </w:p>
        </w:tc>
      </w:tr>
      <w:tr w14:paraId="32BEF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0155F422">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26</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44BD98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通行证</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6F91907A">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A5铜版纸彩色打印+塑封</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701FC700">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800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0B33870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张</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7493844A">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12E358D0">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A8A5331">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28EDA6EA">
            <w:pPr>
              <w:jc w:val="center"/>
              <w:rPr>
                <w:rFonts w:hint="eastAsia" w:ascii="宋体" w:hAnsi="宋体" w:eastAsia="宋体" w:cs="宋体"/>
                <w:i w:val="0"/>
                <w:iCs w:val="0"/>
                <w:color w:val="000000"/>
                <w:sz w:val="18"/>
                <w:szCs w:val="18"/>
                <w:highlight w:val="none"/>
                <w:u w:val="none"/>
              </w:rPr>
            </w:pPr>
          </w:p>
        </w:tc>
      </w:tr>
      <w:tr w14:paraId="66868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28D2F888">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27</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4DA2F82">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安全宣传手册</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0D0D2DE6">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A4幅面8P铜版纸彩色打印+装订</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2B3F2297">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47E13674">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本</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62BA1142">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465778DF">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9C9133C">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EB812E1">
            <w:pPr>
              <w:jc w:val="center"/>
              <w:rPr>
                <w:rFonts w:hint="eastAsia" w:ascii="宋体" w:hAnsi="宋体" w:eastAsia="宋体" w:cs="宋体"/>
                <w:i w:val="0"/>
                <w:iCs w:val="0"/>
                <w:color w:val="000000"/>
                <w:sz w:val="18"/>
                <w:szCs w:val="18"/>
                <w:highlight w:val="none"/>
                <w:u w:val="none"/>
              </w:rPr>
            </w:pPr>
          </w:p>
        </w:tc>
      </w:tr>
      <w:tr w14:paraId="2D03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6198FEBE">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28</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75202D28">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安全宣传刀旗</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546A333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60*120cm+红旗布带杆+安装</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2459063">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1000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391E5CCB">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个</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23E712F">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5E8CEC47">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DE3EE8B">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7AEFF3FF">
            <w:pPr>
              <w:jc w:val="center"/>
              <w:rPr>
                <w:rFonts w:hint="eastAsia" w:ascii="宋体" w:hAnsi="宋体" w:eastAsia="宋体" w:cs="宋体"/>
                <w:i w:val="0"/>
                <w:iCs w:val="0"/>
                <w:color w:val="000000"/>
                <w:sz w:val="18"/>
                <w:szCs w:val="18"/>
                <w:highlight w:val="none"/>
                <w:u w:val="none"/>
              </w:rPr>
            </w:pPr>
          </w:p>
        </w:tc>
      </w:tr>
      <w:tr w14:paraId="13893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39" w:type="pct"/>
            <w:tcBorders>
              <w:top w:val="single" w:color="000000" w:sz="4" w:space="0"/>
              <w:left w:val="single" w:color="000000" w:sz="4" w:space="0"/>
              <w:bottom w:val="single" w:color="000000" w:sz="4" w:space="0"/>
              <w:right w:val="single" w:color="000000" w:sz="4" w:space="0"/>
            </w:tcBorders>
            <w:noWrap w:val="0"/>
            <w:vAlign w:val="center"/>
          </w:tcPr>
          <w:p w14:paraId="34BEA6B3">
            <w:pPr>
              <w:spacing w:beforeLines="0" w:afterLines="0"/>
              <w:jc w:val="center"/>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rPr>
              <w:t>29</w:t>
            </w:r>
          </w:p>
        </w:tc>
        <w:tc>
          <w:tcPr>
            <w:tcW w:w="524" w:type="pct"/>
            <w:tcBorders>
              <w:top w:val="single" w:color="000000" w:sz="4" w:space="0"/>
              <w:left w:val="single" w:color="000000" w:sz="4" w:space="0"/>
              <w:bottom w:val="single" w:color="000000" w:sz="4" w:space="0"/>
              <w:right w:val="single" w:color="000000" w:sz="4" w:space="0"/>
            </w:tcBorders>
            <w:noWrap w:val="0"/>
            <w:vAlign w:val="center"/>
          </w:tcPr>
          <w:p w14:paraId="0C10EF59">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标准化班前讲台/演练背景墙</w:t>
            </w:r>
          </w:p>
        </w:tc>
        <w:tc>
          <w:tcPr>
            <w:tcW w:w="1406" w:type="pct"/>
            <w:tcBorders>
              <w:top w:val="single" w:color="000000" w:sz="4" w:space="0"/>
              <w:left w:val="single" w:color="000000" w:sz="4" w:space="0"/>
              <w:bottom w:val="single" w:color="000000" w:sz="4" w:space="0"/>
              <w:right w:val="single" w:color="000000" w:sz="4" w:space="0"/>
            </w:tcBorders>
            <w:noWrap w:val="0"/>
            <w:vAlign w:val="center"/>
          </w:tcPr>
          <w:p w14:paraId="2D1A7E8D">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立体式框架+预埋混凝土+镀锌管焊接钢结构+黑底喷绘布+安拆</w:t>
            </w:r>
          </w:p>
        </w:tc>
        <w:tc>
          <w:tcPr>
            <w:tcW w:w="538" w:type="pct"/>
            <w:tcBorders>
              <w:top w:val="single" w:color="000000" w:sz="4" w:space="0"/>
              <w:left w:val="single" w:color="000000" w:sz="4" w:space="0"/>
              <w:bottom w:val="single" w:color="000000" w:sz="4" w:space="0"/>
              <w:right w:val="single" w:color="000000" w:sz="4" w:space="0"/>
            </w:tcBorders>
            <w:noWrap w:val="0"/>
            <w:vAlign w:val="center"/>
          </w:tcPr>
          <w:p w14:paraId="1098D8AF">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350</w:t>
            </w:r>
          </w:p>
        </w:tc>
        <w:tc>
          <w:tcPr>
            <w:tcW w:w="513" w:type="pct"/>
            <w:tcBorders>
              <w:top w:val="single" w:color="000000" w:sz="4" w:space="0"/>
              <w:left w:val="single" w:color="000000" w:sz="4" w:space="0"/>
              <w:bottom w:val="single" w:color="000000" w:sz="4" w:space="0"/>
              <w:right w:val="single" w:color="000000" w:sz="4" w:space="0"/>
            </w:tcBorders>
            <w:noWrap w:val="0"/>
            <w:vAlign w:val="center"/>
          </w:tcPr>
          <w:p w14:paraId="6F833DC1">
            <w:pPr>
              <w:keepNext w:val="0"/>
              <w:keepLines w:val="0"/>
              <w:widowControl/>
              <w:suppressLineNumbers w:val="0"/>
              <w:spacing w:beforeLines="0" w:afterLines="0"/>
              <w:jc w:val="center"/>
              <w:textAlignment w:val="auto"/>
              <w:rPr>
                <w:rFonts w:hint="eastAsia" w:ascii="宋体" w:hAnsi="宋体" w:cs="黑体"/>
                <w:color w:val="auto"/>
                <w:kern w:val="2"/>
                <w:sz w:val="22"/>
                <w:szCs w:val="24"/>
                <w:highlight w:val="none"/>
                <w:lang w:val="en-US" w:eastAsia="zh-CN" w:bidi="ar-SA"/>
              </w:rPr>
            </w:pPr>
            <w:r>
              <w:rPr>
                <w:rFonts w:hint="eastAsia" w:ascii="宋体" w:hAnsi="宋体"/>
                <w:color w:val="auto"/>
                <w:sz w:val="22"/>
                <w:szCs w:val="24"/>
              </w:rPr>
              <w:t>平方米</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491C9C4B">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3345622E">
            <w:pPr>
              <w:jc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sz w:val="18"/>
                <w:szCs w:val="18"/>
                <w:highlight w:val="none"/>
                <w:u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0C0392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5F9B6EF2">
            <w:pPr>
              <w:jc w:val="center"/>
              <w:rPr>
                <w:rFonts w:hint="eastAsia" w:ascii="宋体" w:hAnsi="宋体" w:eastAsia="宋体" w:cs="宋体"/>
                <w:i w:val="0"/>
                <w:iCs w:val="0"/>
                <w:color w:val="000000"/>
                <w:sz w:val="18"/>
                <w:szCs w:val="18"/>
                <w:highlight w:val="none"/>
                <w:u w:val="none"/>
              </w:rPr>
            </w:pPr>
          </w:p>
        </w:tc>
      </w:tr>
      <w:tr w14:paraId="18E0E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3322" w:type="pct"/>
            <w:gridSpan w:val="5"/>
            <w:tcBorders>
              <w:top w:val="single" w:color="000000" w:sz="4" w:space="0"/>
              <w:left w:val="single" w:color="000000" w:sz="4" w:space="0"/>
              <w:bottom w:val="single" w:color="000000" w:sz="4" w:space="0"/>
              <w:right w:val="single" w:color="000000" w:sz="4" w:space="0"/>
            </w:tcBorders>
            <w:noWrap w:val="0"/>
            <w:vAlign w:val="center"/>
          </w:tcPr>
          <w:p w14:paraId="05F5D5C2">
            <w:pPr>
              <w:keepNext w:val="0"/>
              <w:keepLines w:val="0"/>
              <w:widowControl/>
              <w:suppressLineNumbers w:val="0"/>
              <w:spacing w:beforeLines="0" w:afterLines="0"/>
              <w:jc w:val="center"/>
              <w:textAlignment w:val="auto"/>
              <w:rPr>
                <w:rFonts w:hint="eastAsia" w:ascii="宋体" w:hAnsi="宋体" w:cs="黑体"/>
                <w:color w:val="000000"/>
                <w:kern w:val="2"/>
                <w:sz w:val="22"/>
                <w:szCs w:val="24"/>
                <w:highlight w:val="none"/>
                <w:lang w:val="en-US" w:eastAsia="zh-CN" w:bidi="ar-SA"/>
              </w:rPr>
            </w:pPr>
            <w:r>
              <w:rPr>
                <w:rFonts w:hint="eastAsia" w:ascii="宋体" w:hAnsi="宋体"/>
                <w:color w:val="000000"/>
                <w:sz w:val="22"/>
                <w:szCs w:val="24"/>
                <w:highlight w:val="none"/>
                <w:lang w:val="en-US" w:eastAsia="zh-CN"/>
              </w:rPr>
              <w:t>合计</w:t>
            </w:r>
          </w:p>
        </w:tc>
        <w:tc>
          <w:tcPr>
            <w:tcW w:w="395" w:type="pct"/>
            <w:tcBorders>
              <w:top w:val="single" w:color="000000" w:sz="4" w:space="0"/>
              <w:left w:val="single" w:color="000000" w:sz="4" w:space="0"/>
              <w:bottom w:val="single" w:color="000000" w:sz="4" w:space="0"/>
              <w:right w:val="single" w:color="000000" w:sz="4" w:space="0"/>
            </w:tcBorders>
            <w:noWrap w:val="0"/>
            <w:vAlign w:val="center"/>
          </w:tcPr>
          <w:p w14:paraId="287D5B06">
            <w:pPr>
              <w:spacing w:beforeLines="0" w:afterLines="0"/>
              <w:jc w:val="center"/>
              <w:rPr>
                <w:rFonts w:hint="eastAsia" w:ascii="宋体" w:hAnsi="宋体" w:eastAsia="宋体" w:cs="宋体"/>
                <w:i w:val="0"/>
                <w:iCs w:val="0"/>
                <w:color w:val="000000"/>
                <w:sz w:val="18"/>
                <w:szCs w:val="18"/>
                <w:highlight w:val="none"/>
                <w:u w:val="none"/>
              </w:rPr>
            </w:pPr>
          </w:p>
        </w:tc>
        <w:tc>
          <w:tcPr>
            <w:tcW w:w="425" w:type="pct"/>
            <w:tcBorders>
              <w:top w:val="single" w:color="000000" w:sz="4" w:space="0"/>
              <w:left w:val="single" w:color="000000" w:sz="4" w:space="0"/>
              <w:bottom w:val="single" w:color="000000" w:sz="4" w:space="0"/>
              <w:right w:val="single" w:color="000000" w:sz="4" w:space="0"/>
            </w:tcBorders>
            <w:noWrap w:val="0"/>
            <w:vAlign w:val="center"/>
          </w:tcPr>
          <w:p w14:paraId="03BFB522">
            <w:pPr>
              <w:jc w:val="center"/>
              <w:rPr>
                <w:rFonts w:hint="eastAsia" w:ascii="宋体" w:hAnsi="宋体" w:eastAsia="宋体" w:cs="宋体"/>
                <w:i w:val="0"/>
                <w:iCs w:val="0"/>
                <w:color w:val="000000"/>
                <w:sz w:val="18"/>
                <w:szCs w:val="18"/>
                <w:highlight w:val="none"/>
                <w:u w:val="none"/>
              </w:rPr>
            </w:pP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E453DA9">
            <w:pPr>
              <w:jc w:val="center"/>
              <w:rPr>
                <w:rFonts w:hint="eastAsia" w:ascii="宋体" w:hAnsi="宋体" w:eastAsia="宋体" w:cs="宋体"/>
                <w:i w:val="0"/>
                <w:iCs w:val="0"/>
                <w:color w:val="000000"/>
                <w:sz w:val="18"/>
                <w:szCs w:val="18"/>
                <w:highlight w:val="none"/>
                <w:u w:val="none"/>
              </w:rPr>
            </w:pP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0199C2E5">
            <w:pPr>
              <w:jc w:val="center"/>
              <w:rPr>
                <w:rFonts w:hint="eastAsia" w:ascii="宋体" w:hAnsi="宋体" w:eastAsia="宋体" w:cs="宋体"/>
                <w:i w:val="0"/>
                <w:iCs w:val="0"/>
                <w:color w:val="000000"/>
                <w:sz w:val="18"/>
                <w:szCs w:val="18"/>
                <w:highlight w:val="none"/>
                <w:u w:val="none"/>
              </w:rPr>
            </w:pPr>
          </w:p>
        </w:tc>
      </w:tr>
    </w:tbl>
    <w:p w14:paraId="5292542B">
      <w:pPr>
        <w:rPr>
          <w:rFonts w:hint="eastAsia"/>
          <w:color w:val="auto"/>
          <w:highlight w:val="none"/>
        </w:rPr>
      </w:pPr>
    </w:p>
    <w:p w14:paraId="0A62B795">
      <w:pPr>
        <w:numPr>
          <w:ilvl w:val="0"/>
          <w:numId w:val="0"/>
        </w:numPr>
        <w:ind w:firstLine="0" w:firstLineChars="0"/>
        <w:rPr>
          <w:rFonts w:hint="default"/>
          <w:highlight w:val="none"/>
          <w:lang w:val="en-US" w:eastAsia="zh-CN"/>
        </w:rPr>
      </w:pPr>
      <w:r>
        <w:rPr>
          <w:rFonts w:hint="eastAsia" w:ascii="Times New Roman" w:hAnsi="Times New Roman" w:eastAsia="宋体"/>
          <w:highlight w:val="none"/>
          <w:lang w:val="en-US" w:eastAsia="zh-CN"/>
        </w:rPr>
        <w:t>注：</w:t>
      </w:r>
      <w:r>
        <w:rPr>
          <w:rFonts w:hint="eastAsia"/>
          <w:highlight w:val="none"/>
          <w:lang w:val="en-US" w:eastAsia="zh-CN"/>
        </w:rPr>
        <w:t>本报价表数量为暂定</w:t>
      </w:r>
      <w:r>
        <w:rPr>
          <w:rFonts w:hint="eastAsia" w:ascii="Times New Roman" w:hAnsi="Times New Roman" w:eastAsia="宋体"/>
          <w:highlight w:val="none"/>
          <w:lang w:val="en-US" w:eastAsia="zh-CN"/>
        </w:rPr>
        <w:t>，</w:t>
      </w:r>
      <w:r>
        <w:rPr>
          <w:rFonts w:hint="eastAsia"/>
          <w:highlight w:val="none"/>
          <w:lang w:val="en-US" w:eastAsia="zh-CN"/>
        </w:rPr>
        <w:t>单价固定不变。单价已</w:t>
      </w:r>
      <w:r>
        <w:rPr>
          <w:rFonts w:hint="eastAsia" w:ascii="Times New Roman" w:hAnsi="Times New Roman" w:eastAsia="宋体"/>
          <w:highlight w:val="none"/>
          <w:lang w:val="en-US" w:eastAsia="zh-CN"/>
        </w:rPr>
        <w:t>包含货物、制作、运输、装卸、安装、辅材、原标识拆除、基础/立柱制作安装、高空及临边作业措施、连接辅材、现场成品保护、垃圾清运及质保等全部费用</w:t>
      </w:r>
      <w:r>
        <w:rPr>
          <w:rFonts w:hint="eastAsia"/>
          <w:highlight w:val="none"/>
          <w:lang w:val="en-US" w:eastAsia="zh-CN"/>
        </w:rPr>
        <w:t>。</w:t>
      </w:r>
    </w:p>
    <w:p w14:paraId="0042F3F9">
      <w:pPr>
        <w:numPr>
          <w:ilvl w:val="0"/>
          <w:numId w:val="0"/>
        </w:numPr>
        <w:ind w:firstLine="0" w:firstLineChars="0"/>
        <w:rPr>
          <w:rFonts w:hint="eastAsia"/>
          <w:highlight w:val="none"/>
          <w:lang w:val="en-US" w:eastAsia="zh-CN"/>
        </w:rPr>
      </w:pPr>
    </w:p>
    <w:p w14:paraId="6B83E76B">
      <w:pPr>
        <w:numPr>
          <w:ilvl w:val="0"/>
          <w:numId w:val="0"/>
        </w:numPr>
        <w:ind w:firstLine="0" w:firstLineChars="0"/>
        <w:rPr>
          <w:rFonts w:hint="eastAsia"/>
          <w:highlight w:val="none"/>
          <w:lang w:val="en-US" w:eastAsia="zh-CN"/>
        </w:rPr>
      </w:pPr>
    </w:p>
    <w:p w14:paraId="636E6ED9">
      <w:pPr>
        <w:numPr>
          <w:ilvl w:val="0"/>
          <w:numId w:val="0"/>
        </w:numPr>
        <w:spacing w:line="240" w:lineRule="auto"/>
        <w:ind w:firstLine="0" w:firstLineChars="0"/>
        <w:jc w:val="left"/>
        <w:rPr>
          <w:rFonts w:hint="eastAsia" w:ascii="宋体" w:hAnsi="宋体"/>
          <w:sz w:val="24"/>
          <w:szCs w:val="24"/>
        </w:rPr>
      </w:pPr>
      <w:r>
        <w:rPr>
          <w:rFonts w:hint="eastAsia" w:ascii="宋体" w:hAnsi="宋体" w:cs="宋体"/>
          <w:sz w:val="24"/>
          <w:szCs w:val="24"/>
        </w:rPr>
        <w:t>响应人</w:t>
      </w:r>
      <w:r>
        <w:rPr>
          <w:rFonts w:hint="eastAsia" w:ascii="宋体" w:hAnsi="宋体"/>
          <w:sz w:val="24"/>
          <w:szCs w:val="24"/>
        </w:rPr>
        <w:t>（盖章）：</w:t>
      </w:r>
      <w:r>
        <w:rPr>
          <w:rFonts w:ascii="宋体" w:hAnsi="宋体"/>
          <w:sz w:val="24"/>
          <w:szCs w:val="24"/>
        </w:rPr>
        <w:t xml:space="preserve">    </w:t>
      </w:r>
      <w:r>
        <w:rPr>
          <w:rFonts w:hint="eastAsia" w:ascii="宋体" w:hAnsi="宋体"/>
          <w:sz w:val="24"/>
          <w:szCs w:val="24"/>
          <w:lang w:val="en-US" w:eastAsia="zh-CN"/>
        </w:rPr>
        <w:t xml:space="preserve">            </w:t>
      </w:r>
      <w:r>
        <w:rPr>
          <w:rFonts w:ascii="宋体" w:hAnsi="宋体"/>
          <w:sz w:val="24"/>
          <w:szCs w:val="24"/>
        </w:rPr>
        <w:t xml:space="preserve"> </w:t>
      </w:r>
      <w:r>
        <w:rPr>
          <w:rFonts w:hint="eastAsia" w:ascii="宋体" w:hAnsi="宋体"/>
          <w:sz w:val="24"/>
          <w:szCs w:val="24"/>
        </w:rPr>
        <w:t>法定代表人或授权代表（签字</w:t>
      </w:r>
      <w:r>
        <w:rPr>
          <w:rFonts w:hint="eastAsia" w:ascii="宋体" w:hAnsi="宋体"/>
          <w:sz w:val="24"/>
          <w:szCs w:val="24"/>
          <w:lang w:eastAsia="zh-CN"/>
        </w:rPr>
        <w:t>或盖章</w:t>
      </w:r>
      <w:r>
        <w:rPr>
          <w:rFonts w:hint="eastAsia" w:ascii="宋体" w:hAnsi="宋体"/>
          <w:sz w:val="24"/>
          <w:szCs w:val="24"/>
        </w:rPr>
        <w:t>）：</w:t>
      </w:r>
    </w:p>
    <w:p w14:paraId="6E291018">
      <w:pPr>
        <w:numPr>
          <w:ilvl w:val="0"/>
          <w:numId w:val="0"/>
        </w:numPr>
        <w:spacing w:line="240" w:lineRule="auto"/>
        <w:ind w:firstLine="0" w:firstLineChars="0"/>
        <w:jc w:val="left"/>
        <w:rPr>
          <w:rFonts w:hint="eastAsia" w:ascii="宋体" w:hAnsi="宋体"/>
          <w:sz w:val="24"/>
          <w:szCs w:val="24"/>
        </w:rPr>
      </w:pPr>
    </w:p>
    <w:p w14:paraId="0A637E0F">
      <w:pPr>
        <w:numPr>
          <w:ilvl w:val="0"/>
          <w:numId w:val="0"/>
        </w:numPr>
        <w:spacing w:line="240" w:lineRule="auto"/>
        <w:ind w:firstLine="0" w:firstLineChars="0"/>
        <w:jc w:val="left"/>
        <w:rPr>
          <w:rFonts w:hint="eastAsia" w:ascii="宋体" w:hAnsi="宋体"/>
          <w:sz w:val="24"/>
          <w:szCs w:val="24"/>
        </w:rPr>
      </w:pPr>
    </w:p>
    <w:p w14:paraId="357D446A">
      <w:pPr>
        <w:numPr>
          <w:ilvl w:val="0"/>
          <w:numId w:val="0"/>
        </w:numPr>
        <w:spacing w:line="240" w:lineRule="auto"/>
        <w:ind w:firstLine="0" w:firstLineChars="0"/>
        <w:jc w:val="left"/>
        <w:rPr>
          <w:rFonts w:hint="eastAsia" w:ascii="宋体" w:hAnsi="宋体"/>
          <w:sz w:val="24"/>
          <w:szCs w:val="24"/>
          <w:lang w:val="en-US" w:eastAsia="zh-CN"/>
        </w:rPr>
      </w:pPr>
      <w:r>
        <w:rPr>
          <w:rFonts w:hint="eastAsia" w:ascii="宋体" w:hAnsi="宋体"/>
          <w:sz w:val="24"/>
          <w:szCs w:val="24"/>
        </w:rPr>
        <w:t xml:space="preserve"> </w:t>
      </w:r>
      <w:r>
        <w:rPr>
          <w:rFonts w:hint="eastAsia" w:ascii="宋体" w:hAnsi="宋体"/>
          <w:sz w:val="24"/>
          <w:szCs w:val="24"/>
          <w:lang w:val="en-US" w:eastAsia="zh-CN"/>
        </w:rPr>
        <w:t xml:space="preserve"> </w:t>
      </w:r>
    </w:p>
    <w:p w14:paraId="5BF7FC60">
      <w:pPr>
        <w:numPr>
          <w:ilvl w:val="0"/>
          <w:numId w:val="0"/>
        </w:numPr>
        <w:spacing w:line="240" w:lineRule="auto"/>
        <w:ind w:firstLine="4800" w:firstLineChars="2000"/>
        <w:jc w:val="left"/>
        <w:rPr>
          <w:rFonts w:hint="eastAsia" w:ascii="宋体" w:hAnsi="宋体" w:eastAsia="宋体"/>
          <w:sz w:val="24"/>
          <w:szCs w:val="24"/>
          <w:u w:val="none"/>
          <w:lang w:val="en-US" w:eastAsia="zh-CN"/>
        </w:rPr>
      </w:pPr>
      <w:r>
        <w:rPr>
          <w:rFonts w:hint="eastAsia" w:ascii="宋体" w:hAnsi="宋体"/>
          <w:sz w:val="24"/>
          <w:szCs w:val="24"/>
          <w:u w:val="single"/>
          <w:lang w:val="en-US" w:eastAsia="zh-CN"/>
        </w:rPr>
        <w:t xml:space="preserve">       </w:t>
      </w:r>
      <w:r>
        <w:rPr>
          <w:rFonts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lang w:val="en-US" w:eastAsia="zh-CN"/>
        </w:rPr>
        <w:t xml:space="preserve">    </w:t>
      </w:r>
      <w:r>
        <w:rPr>
          <w:rFonts w:hint="eastAsia" w:ascii="宋体" w:hAnsi="宋体"/>
          <w:sz w:val="24"/>
          <w:szCs w:val="24"/>
        </w:rPr>
        <w:t>月</w:t>
      </w:r>
      <w:r>
        <w:rPr>
          <w:rFonts w:hint="eastAsia" w:ascii="宋体" w:hAnsi="宋体"/>
          <w:sz w:val="24"/>
          <w:szCs w:val="24"/>
          <w:u w:val="single"/>
          <w:lang w:val="en-US" w:eastAsia="zh-CN"/>
        </w:rPr>
        <w:t xml:space="preserve">   </w:t>
      </w:r>
      <w:r>
        <w:rPr>
          <w:rFonts w:hint="eastAsia" w:ascii="宋体" w:hAnsi="宋体"/>
          <w:sz w:val="24"/>
          <w:szCs w:val="24"/>
          <w:u w:val="none"/>
          <w:lang w:val="en-US" w:eastAsia="zh-CN"/>
        </w:rPr>
        <w:t>日</w:t>
      </w:r>
    </w:p>
    <w:p w14:paraId="03E08774"/>
    <w:p w14:paraId="1836A4A9"/>
    <w:sectPr>
      <w:pgSz w:w="11906" w:h="16838"/>
      <w:pgMar w:top="1843" w:right="1797" w:bottom="1418" w:left="1797" w:header="851" w:footer="567"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7602DF-2D00-4910-89B8-CDB02C132C27}"/>
  </w:font>
  <w:font w:name="黑体">
    <w:panose1 w:val="02010609060101010101"/>
    <w:charset w:val="86"/>
    <w:family w:val="auto"/>
    <w:pitch w:val="default"/>
    <w:sig w:usb0="800002BF" w:usb1="38CF7CFA" w:usb2="00000016" w:usb3="00000000" w:csb0="00040001" w:csb1="00000000"/>
    <w:embedRegular r:id="rId2" w:fontKey="{F340CEF3-20C2-4CB3-86B8-F6482B6127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3" w:fontKey="{EC1DBC9D-0543-4D3A-94B1-25357372806F}"/>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7FFAEFF" w:usb1="F9DFFFFF"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embedRegular r:id="rId4" w:fontKey="{C921C9EC-2268-4366-8C45-F392BB6F16F6}"/>
  </w:font>
  <w:font w:name="仿宋">
    <w:panose1 w:val="02010609060101010101"/>
    <w:charset w:val="86"/>
    <w:family w:val="auto"/>
    <w:pitch w:val="default"/>
    <w:sig w:usb0="800002BF" w:usb1="38CF7CFA" w:usb2="00000016" w:usb3="00000000" w:csb0="00040001" w:csb1="00000000"/>
    <w:embedRegular r:id="rId5" w:fontKey="{B6A37B3F-62FF-4384-A70B-E9E95788C529}"/>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A8B4C">
    <w:pPr>
      <w:pStyle w:val="30"/>
      <w:jc w:val="center"/>
      <w:rPr>
        <w:rFonts w:hint="eastAsia"/>
        <w:sz w:val="21"/>
        <w:szCs w:val="21"/>
      </w:rPr>
    </w:pPr>
    <w:r>
      <w:rPr>
        <w:rFonts w:hint="eastAsia" w:ascii="宋体" w:hAnsi="宋体"/>
        <w:sz w:val="24"/>
        <w:szCs w:val="24"/>
      </w:rPr>
      <w:t xml:space="preserve"> </w: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B5CE8">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243F1">
    <w:pPr>
      <w:pStyle w:val="30"/>
      <w:tabs>
        <w:tab w:val="left" w:pos="4810"/>
      </w:tabs>
      <w:jc w:val="left"/>
      <w:rPr>
        <w:rFonts w:hint="eastAsia" w:eastAsia="宋体"/>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B3A32E">
                          <w:pPr>
                            <w:pStyle w:val="30"/>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1B3A32E">
                    <w:pPr>
                      <w:pStyle w:val="30"/>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rPr>
                      <w:t>1</w:t>
                    </w:r>
                    <w:r>
                      <w:rPr>
                        <w:rFonts w:ascii="宋体" w:hAnsi="宋体" w:eastAsia="宋体"/>
                        <w:sz w:val="24"/>
                        <w:szCs w:val="24"/>
                      </w:rPr>
                      <w:fldChar w:fldCharType="end"/>
                    </w:r>
                  </w:p>
                </w:txbxContent>
              </v:textbox>
            </v:shape>
          </w:pict>
        </mc:Fallback>
      </mc:AlternateContent>
    </w:r>
    <w:r>
      <w:rPr>
        <w:rFonts w:hint="eastAsia"/>
        <w:lang w:eastAsia="zh-CN"/>
      </w:rPr>
      <w:tab/>
      <w:t/>
    </w:r>
    <w:r>
      <w:rPr>
        <w:rFonts w:hint="eastAsia"/>
        <w:lang w:eastAsia="zh-CN"/>
      </w:rPr>
      <w:tab/>
    </w:r>
  </w:p>
  <w:p w14:paraId="4F32A995">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D1137">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73E87">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9B516">
    <w:pPr>
      <w:pStyle w:val="31"/>
      <w:wordWrap w:val="0"/>
      <w:jc w:val="both"/>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A033A"/>
    <w:multiLevelType w:val="singleLevel"/>
    <w:tmpl w:val="A6EA033A"/>
    <w:lvl w:ilvl="0" w:tentative="0">
      <w:start w:val="3"/>
      <w:numFmt w:val="chineseCounting"/>
      <w:suff w:val="space"/>
      <w:lvlText w:val="第%1章"/>
      <w:lvlJc w:val="left"/>
      <w:rPr>
        <w:rFonts w:hint="eastAsia"/>
      </w:rPr>
    </w:lvl>
  </w:abstractNum>
  <w:abstractNum w:abstractNumId="1">
    <w:nsid w:val="CF52532D"/>
    <w:multiLevelType w:val="singleLevel"/>
    <w:tmpl w:val="CF52532D"/>
    <w:lvl w:ilvl="0" w:tentative="0">
      <w:start w:val="4"/>
      <w:numFmt w:val="chineseCounting"/>
      <w:suff w:val="space"/>
      <w:lvlText w:val="第%1章"/>
      <w:lvlJc w:val="left"/>
      <w:rPr>
        <w:rFonts w:hint="eastAsia"/>
      </w:rPr>
    </w:lvl>
  </w:abstractNum>
  <w:abstractNum w:abstractNumId="2">
    <w:nsid w:val="48AE0B36"/>
    <w:multiLevelType w:val="multilevel"/>
    <w:tmpl w:val="48AE0B36"/>
    <w:lvl w:ilvl="0" w:tentative="0">
      <w:start w:val="1"/>
      <w:numFmt w:val="bullet"/>
      <w:pStyle w:val="128"/>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78C6F4AE"/>
    <w:multiLevelType w:val="singleLevel"/>
    <w:tmpl w:val="78C6F4AE"/>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0ODJlZmQ1ZTdkMzMwZjY0NjZlYTI4NWI0ZDRjMGM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8144A"/>
    <w:rsid w:val="00084585"/>
    <w:rsid w:val="00085746"/>
    <w:rsid w:val="00090B4B"/>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C0244"/>
    <w:rsid w:val="002C17EE"/>
    <w:rsid w:val="002C1A03"/>
    <w:rsid w:val="002C22C5"/>
    <w:rsid w:val="002D0210"/>
    <w:rsid w:val="002D3821"/>
    <w:rsid w:val="002D5B88"/>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86639"/>
    <w:rsid w:val="00591096"/>
    <w:rsid w:val="00591566"/>
    <w:rsid w:val="00593D9E"/>
    <w:rsid w:val="00595AF0"/>
    <w:rsid w:val="005A2942"/>
    <w:rsid w:val="005A4975"/>
    <w:rsid w:val="005A4B5B"/>
    <w:rsid w:val="005B249A"/>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53C9"/>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302A"/>
    <w:rsid w:val="009E447E"/>
    <w:rsid w:val="009E517B"/>
    <w:rsid w:val="009E633C"/>
    <w:rsid w:val="009E72CA"/>
    <w:rsid w:val="009E7419"/>
    <w:rsid w:val="009F391B"/>
    <w:rsid w:val="009F3A3A"/>
    <w:rsid w:val="009F5036"/>
    <w:rsid w:val="009F54E8"/>
    <w:rsid w:val="00A012D6"/>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20468"/>
    <w:rsid w:val="00E206A6"/>
    <w:rsid w:val="00E2391B"/>
    <w:rsid w:val="00E2435E"/>
    <w:rsid w:val="00E26339"/>
    <w:rsid w:val="00E36A1C"/>
    <w:rsid w:val="00E420F1"/>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0A8B"/>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050B3"/>
    <w:rsid w:val="01120252"/>
    <w:rsid w:val="01315496"/>
    <w:rsid w:val="017B41B6"/>
    <w:rsid w:val="01BD4AF3"/>
    <w:rsid w:val="02020BA8"/>
    <w:rsid w:val="023A7C24"/>
    <w:rsid w:val="025530E0"/>
    <w:rsid w:val="026C4E85"/>
    <w:rsid w:val="028F09B5"/>
    <w:rsid w:val="02CE0BE0"/>
    <w:rsid w:val="03054567"/>
    <w:rsid w:val="034E64F9"/>
    <w:rsid w:val="0387115B"/>
    <w:rsid w:val="03B17D89"/>
    <w:rsid w:val="03F034A1"/>
    <w:rsid w:val="041D7F05"/>
    <w:rsid w:val="042C4461"/>
    <w:rsid w:val="045350DB"/>
    <w:rsid w:val="04660B91"/>
    <w:rsid w:val="04893CF2"/>
    <w:rsid w:val="04DD5B18"/>
    <w:rsid w:val="05194B0E"/>
    <w:rsid w:val="05294739"/>
    <w:rsid w:val="05634260"/>
    <w:rsid w:val="05EA021B"/>
    <w:rsid w:val="05F03F01"/>
    <w:rsid w:val="05F54255"/>
    <w:rsid w:val="06117543"/>
    <w:rsid w:val="061A79CB"/>
    <w:rsid w:val="06C77403"/>
    <w:rsid w:val="06EB0BBA"/>
    <w:rsid w:val="07125F5D"/>
    <w:rsid w:val="07186477"/>
    <w:rsid w:val="077E65E2"/>
    <w:rsid w:val="07EE5008"/>
    <w:rsid w:val="08131B15"/>
    <w:rsid w:val="084E68C3"/>
    <w:rsid w:val="08DF1BDD"/>
    <w:rsid w:val="08E37757"/>
    <w:rsid w:val="099C0EAC"/>
    <w:rsid w:val="09E97B1B"/>
    <w:rsid w:val="09EE2B5C"/>
    <w:rsid w:val="09FF5DDA"/>
    <w:rsid w:val="0A193C90"/>
    <w:rsid w:val="0A1C4208"/>
    <w:rsid w:val="0A4206F5"/>
    <w:rsid w:val="0A4405DF"/>
    <w:rsid w:val="0AC052D1"/>
    <w:rsid w:val="0AC14D90"/>
    <w:rsid w:val="0AF55084"/>
    <w:rsid w:val="0B0E4487"/>
    <w:rsid w:val="0B2F0A2B"/>
    <w:rsid w:val="0B5E281F"/>
    <w:rsid w:val="0B683F93"/>
    <w:rsid w:val="0B813A16"/>
    <w:rsid w:val="0B8C3105"/>
    <w:rsid w:val="0BCB323F"/>
    <w:rsid w:val="0BD46270"/>
    <w:rsid w:val="0CA02447"/>
    <w:rsid w:val="0CB735A9"/>
    <w:rsid w:val="0CEC743A"/>
    <w:rsid w:val="0D623EC1"/>
    <w:rsid w:val="0D9C6B35"/>
    <w:rsid w:val="0DAF006B"/>
    <w:rsid w:val="0DB66EE2"/>
    <w:rsid w:val="0E24153B"/>
    <w:rsid w:val="0E27420F"/>
    <w:rsid w:val="0E6D7D14"/>
    <w:rsid w:val="0ECE30CE"/>
    <w:rsid w:val="0F1D53FE"/>
    <w:rsid w:val="0F6159BE"/>
    <w:rsid w:val="0FF552B8"/>
    <w:rsid w:val="10560DDC"/>
    <w:rsid w:val="10864982"/>
    <w:rsid w:val="10B16FF6"/>
    <w:rsid w:val="11691059"/>
    <w:rsid w:val="11DC5B16"/>
    <w:rsid w:val="12040725"/>
    <w:rsid w:val="12105139"/>
    <w:rsid w:val="12504B0B"/>
    <w:rsid w:val="12650C1D"/>
    <w:rsid w:val="12851201"/>
    <w:rsid w:val="12993BDF"/>
    <w:rsid w:val="12E02B88"/>
    <w:rsid w:val="12E10ACC"/>
    <w:rsid w:val="12F37E98"/>
    <w:rsid w:val="12F622E8"/>
    <w:rsid w:val="134A6536"/>
    <w:rsid w:val="1377601D"/>
    <w:rsid w:val="137A761A"/>
    <w:rsid w:val="13CC3B4F"/>
    <w:rsid w:val="14057398"/>
    <w:rsid w:val="14322AAA"/>
    <w:rsid w:val="14427274"/>
    <w:rsid w:val="1471518A"/>
    <w:rsid w:val="149517DE"/>
    <w:rsid w:val="14DE4E93"/>
    <w:rsid w:val="14F307B7"/>
    <w:rsid w:val="151F0BFA"/>
    <w:rsid w:val="15397EBF"/>
    <w:rsid w:val="15483192"/>
    <w:rsid w:val="15543D8D"/>
    <w:rsid w:val="158D4ABA"/>
    <w:rsid w:val="159B3ACD"/>
    <w:rsid w:val="15B53438"/>
    <w:rsid w:val="15C275EE"/>
    <w:rsid w:val="15E0345E"/>
    <w:rsid w:val="15E80B7B"/>
    <w:rsid w:val="16054013"/>
    <w:rsid w:val="16544301"/>
    <w:rsid w:val="167A1802"/>
    <w:rsid w:val="168B5B9C"/>
    <w:rsid w:val="169F1432"/>
    <w:rsid w:val="16AF7FD9"/>
    <w:rsid w:val="16C239D7"/>
    <w:rsid w:val="16D234CC"/>
    <w:rsid w:val="16E123B0"/>
    <w:rsid w:val="171C6449"/>
    <w:rsid w:val="172F509E"/>
    <w:rsid w:val="178C64EA"/>
    <w:rsid w:val="17BC6C8F"/>
    <w:rsid w:val="17CE6E6D"/>
    <w:rsid w:val="18005CAA"/>
    <w:rsid w:val="180677A2"/>
    <w:rsid w:val="182F3A24"/>
    <w:rsid w:val="183E1445"/>
    <w:rsid w:val="18885BD3"/>
    <w:rsid w:val="18CC4756"/>
    <w:rsid w:val="18DB7194"/>
    <w:rsid w:val="18E67C2B"/>
    <w:rsid w:val="190A5E35"/>
    <w:rsid w:val="194075C2"/>
    <w:rsid w:val="19604DC0"/>
    <w:rsid w:val="19710522"/>
    <w:rsid w:val="197C0C4B"/>
    <w:rsid w:val="1A5F23D0"/>
    <w:rsid w:val="1A864D25"/>
    <w:rsid w:val="1AE13220"/>
    <w:rsid w:val="1AE917E7"/>
    <w:rsid w:val="1AF56A6B"/>
    <w:rsid w:val="1B143D6D"/>
    <w:rsid w:val="1B2B4DFF"/>
    <w:rsid w:val="1B3768FA"/>
    <w:rsid w:val="1B466CB9"/>
    <w:rsid w:val="1B657081"/>
    <w:rsid w:val="1B6F74CB"/>
    <w:rsid w:val="1B790874"/>
    <w:rsid w:val="1B903D56"/>
    <w:rsid w:val="1BA656CD"/>
    <w:rsid w:val="1BAF48FC"/>
    <w:rsid w:val="1BE10A33"/>
    <w:rsid w:val="1BEF7DCD"/>
    <w:rsid w:val="1BFA3079"/>
    <w:rsid w:val="1C155905"/>
    <w:rsid w:val="1C846E63"/>
    <w:rsid w:val="1CA74918"/>
    <w:rsid w:val="1CCB08A2"/>
    <w:rsid w:val="1CCD00CD"/>
    <w:rsid w:val="1D496A83"/>
    <w:rsid w:val="1DAE6696"/>
    <w:rsid w:val="1DBC3F9A"/>
    <w:rsid w:val="1DC056E9"/>
    <w:rsid w:val="1DD0420E"/>
    <w:rsid w:val="1E16573B"/>
    <w:rsid w:val="1E6607F9"/>
    <w:rsid w:val="1E76400B"/>
    <w:rsid w:val="1E7B0F44"/>
    <w:rsid w:val="1EAF71FE"/>
    <w:rsid w:val="1F2E192B"/>
    <w:rsid w:val="1F452C54"/>
    <w:rsid w:val="1F4C4F1D"/>
    <w:rsid w:val="202C43AD"/>
    <w:rsid w:val="20374AD0"/>
    <w:rsid w:val="205904EB"/>
    <w:rsid w:val="205A3474"/>
    <w:rsid w:val="20692661"/>
    <w:rsid w:val="209B1B01"/>
    <w:rsid w:val="20BF6C18"/>
    <w:rsid w:val="21712D85"/>
    <w:rsid w:val="21B04010"/>
    <w:rsid w:val="21BC123E"/>
    <w:rsid w:val="221F2ABD"/>
    <w:rsid w:val="22501B21"/>
    <w:rsid w:val="226002FB"/>
    <w:rsid w:val="22984A4D"/>
    <w:rsid w:val="229D744D"/>
    <w:rsid w:val="22DF3F7F"/>
    <w:rsid w:val="23286C0C"/>
    <w:rsid w:val="23477454"/>
    <w:rsid w:val="23DE6608"/>
    <w:rsid w:val="23E641A6"/>
    <w:rsid w:val="240474AB"/>
    <w:rsid w:val="24086C10"/>
    <w:rsid w:val="24285A93"/>
    <w:rsid w:val="244B0A92"/>
    <w:rsid w:val="24644EB4"/>
    <w:rsid w:val="2469143F"/>
    <w:rsid w:val="247E7F9C"/>
    <w:rsid w:val="248D7729"/>
    <w:rsid w:val="255A6E65"/>
    <w:rsid w:val="2569557C"/>
    <w:rsid w:val="258375A2"/>
    <w:rsid w:val="25846748"/>
    <w:rsid w:val="259E3BEA"/>
    <w:rsid w:val="263317DE"/>
    <w:rsid w:val="2644515B"/>
    <w:rsid w:val="266F3F23"/>
    <w:rsid w:val="26E30FC1"/>
    <w:rsid w:val="2748086C"/>
    <w:rsid w:val="279E68E0"/>
    <w:rsid w:val="27AA481C"/>
    <w:rsid w:val="27AC0EC8"/>
    <w:rsid w:val="27CB5983"/>
    <w:rsid w:val="27E67927"/>
    <w:rsid w:val="27FD506B"/>
    <w:rsid w:val="28086FE8"/>
    <w:rsid w:val="2880395F"/>
    <w:rsid w:val="28811CBB"/>
    <w:rsid w:val="28913510"/>
    <w:rsid w:val="28A65AED"/>
    <w:rsid w:val="28D31369"/>
    <w:rsid w:val="28FB4140"/>
    <w:rsid w:val="295043A3"/>
    <w:rsid w:val="298526EC"/>
    <w:rsid w:val="29A10F45"/>
    <w:rsid w:val="29C3518A"/>
    <w:rsid w:val="2A3E5DF7"/>
    <w:rsid w:val="2A5C276F"/>
    <w:rsid w:val="2A87620A"/>
    <w:rsid w:val="2A881E5A"/>
    <w:rsid w:val="2ACE4924"/>
    <w:rsid w:val="2ADB2A92"/>
    <w:rsid w:val="2B3163EF"/>
    <w:rsid w:val="2BAC63AF"/>
    <w:rsid w:val="2BD24560"/>
    <w:rsid w:val="2C00014F"/>
    <w:rsid w:val="2C7355DC"/>
    <w:rsid w:val="2CAA3415"/>
    <w:rsid w:val="2CD67193"/>
    <w:rsid w:val="2CEB7B0A"/>
    <w:rsid w:val="2D1D3C59"/>
    <w:rsid w:val="2D3E555B"/>
    <w:rsid w:val="2D564AED"/>
    <w:rsid w:val="2D76731A"/>
    <w:rsid w:val="2E9670A7"/>
    <w:rsid w:val="2EB4288A"/>
    <w:rsid w:val="2ED25225"/>
    <w:rsid w:val="2EE75A17"/>
    <w:rsid w:val="2F9C1FAE"/>
    <w:rsid w:val="2FD4116D"/>
    <w:rsid w:val="2FDE7241"/>
    <w:rsid w:val="30045177"/>
    <w:rsid w:val="30366840"/>
    <w:rsid w:val="308E5A16"/>
    <w:rsid w:val="309747A5"/>
    <w:rsid w:val="30A6421B"/>
    <w:rsid w:val="30AC3F0A"/>
    <w:rsid w:val="30D37E45"/>
    <w:rsid w:val="30E10B7C"/>
    <w:rsid w:val="31390062"/>
    <w:rsid w:val="313A6116"/>
    <w:rsid w:val="319A448B"/>
    <w:rsid w:val="31CB6D6E"/>
    <w:rsid w:val="32425EFC"/>
    <w:rsid w:val="328345EC"/>
    <w:rsid w:val="330D155C"/>
    <w:rsid w:val="33241C6A"/>
    <w:rsid w:val="33ED7A9B"/>
    <w:rsid w:val="345B3333"/>
    <w:rsid w:val="34666337"/>
    <w:rsid w:val="348A548F"/>
    <w:rsid w:val="34C55C39"/>
    <w:rsid w:val="34D7563B"/>
    <w:rsid w:val="34E9112D"/>
    <w:rsid w:val="350F20FA"/>
    <w:rsid w:val="36070D03"/>
    <w:rsid w:val="36191124"/>
    <w:rsid w:val="363B3739"/>
    <w:rsid w:val="364D79CC"/>
    <w:rsid w:val="36887DC3"/>
    <w:rsid w:val="36A05451"/>
    <w:rsid w:val="36D17314"/>
    <w:rsid w:val="371A73DF"/>
    <w:rsid w:val="375C78C0"/>
    <w:rsid w:val="376A4477"/>
    <w:rsid w:val="37AB2228"/>
    <w:rsid w:val="37B84CA5"/>
    <w:rsid w:val="37F912E8"/>
    <w:rsid w:val="38042FDA"/>
    <w:rsid w:val="382D5E20"/>
    <w:rsid w:val="38726861"/>
    <w:rsid w:val="39407D6A"/>
    <w:rsid w:val="39C34026"/>
    <w:rsid w:val="39D07C62"/>
    <w:rsid w:val="39FF34F2"/>
    <w:rsid w:val="3A053D45"/>
    <w:rsid w:val="3A3634F2"/>
    <w:rsid w:val="3AFA6FF7"/>
    <w:rsid w:val="3B675206"/>
    <w:rsid w:val="3BAE77B7"/>
    <w:rsid w:val="3BE162BD"/>
    <w:rsid w:val="3C390E09"/>
    <w:rsid w:val="3C3B2222"/>
    <w:rsid w:val="3C975D92"/>
    <w:rsid w:val="3CBC23FD"/>
    <w:rsid w:val="3CE513EF"/>
    <w:rsid w:val="3CFD6D52"/>
    <w:rsid w:val="3D5C19F4"/>
    <w:rsid w:val="3D6A33B2"/>
    <w:rsid w:val="3D884589"/>
    <w:rsid w:val="3D9A74CC"/>
    <w:rsid w:val="3DC940E6"/>
    <w:rsid w:val="3DEF5F69"/>
    <w:rsid w:val="3E362B45"/>
    <w:rsid w:val="3E413207"/>
    <w:rsid w:val="3E9224F4"/>
    <w:rsid w:val="3EAE2E16"/>
    <w:rsid w:val="3EBA796A"/>
    <w:rsid w:val="3ED02C0F"/>
    <w:rsid w:val="3EFD68FA"/>
    <w:rsid w:val="3F28464A"/>
    <w:rsid w:val="3F332238"/>
    <w:rsid w:val="3F6E143F"/>
    <w:rsid w:val="3FA92E92"/>
    <w:rsid w:val="3FBA7B8C"/>
    <w:rsid w:val="3FD24F55"/>
    <w:rsid w:val="3FE0281E"/>
    <w:rsid w:val="408363D7"/>
    <w:rsid w:val="40C9753B"/>
    <w:rsid w:val="41A80881"/>
    <w:rsid w:val="41CA07CA"/>
    <w:rsid w:val="41CB3C96"/>
    <w:rsid w:val="420876AE"/>
    <w:rsid w:val="420A450B"/>
    <w:rsid w:val="42310423"/>
    <w:rsid w:val="424E6579"/>
    <w:rsid w:val="42563D00"/>
    <w:rsid w:val="42A13EEF"/>
    <w:rsid w:val="42A861C4"/>
    <w:rsid w:val="42D40309"/>
    <w:rsid w:val="434629BF"/>
    <w:rsid w:val="436D1E11"/>
    <w:rsid w:val="437468DE"/>
    <w:rsid w:val="438B37F6"/>
    <w:rsid w:val="438F17FD"/>
    <w:rsid w:val="43C36037"/>
    <w:rsid w:val="43E4507F"/>
    <w:rsid w:val="443D34E4"/>
    <w:rsid w:val="4461139D"/>
    <w:rsid w:val="446820D2"/>
    <w:rsid w:val="44981AA2"/>
    <w:rsid w:val="450F6FE7"/>
    <w:rsid w:val="453749EF"/>
    <w:rsid w:val="45473194"/>
    <w:rsid w:val="4568480D"/>
    <w:rsid w:val="45B67C7D"/>
    <w:rsid w:val="45EF1DDC"/>
    <w:rsid w:val="46034729"/>
    <w:rsid w:val="468E063F"/>
    <w:rsid w:val="46AE597B"/>
    <w:rsid w:val="46AF1158"/>
    <w:rsid w:val="46C26101"/>
    <w:rsid w:val="47105BF6"/>
    <w:rsid w:val="472326E7"/>
    <w:rsid w:val="47817384"/>
    <w:rsid w:val="47845BFB"/>
    <w:rsid w:val="47940203"/>
    <w:rsid w:val="47C637CA"/>
    <w:rsid w:val="47C94B90"/>
    <w:rsid w:val="47FF757A"/>
    <w:rsid w:val="48154B51"/>
    <w:rsid w:val="4818334F"/>
    <w:rsid w:val="485A01FF"/>
    <w:rsid w:val="485F1F00"/>
    <w:rsid w:val="48833062"/>
    <w:rsid w:val="48F41BCD"/>
    <w:rsid w:val="491A58C5"/>
    <w:rsid w:val="499B6545"/>
    <w:rsid w:val="49AF6B36"/>
    <w:rsid w:val="49C61ED6"/>
    <w:rsid w:val="49D76E71"/>
    <w:rsid w:val="4A311575"/>
    <w:rsid w:val="4A6A4F69"/>
    <w:rsid w:val="4A750DDF"/>
    <w:rsid w:val="4AB13467"/>
    <w:rsid w:val="4AE22245"/>
    <w:rsid w:val="4B9F1A03"/>
    <w:rsid w:val="4BAB1002"/>
    <w:rsid w:val="4BAF19A6"/>
    <w:rsid w:val="4C374073"/>
    <w:rsid w:val="4C7E1155"/>
    <w:rsid w:val="4C8C41C1"/>
    <w:rsid w:val="4CB81E63"/>
    <w:rsid w:val="4D1E4874"/>
    <w:rsid w:val="4D250B23"/>
    <w:rsid w:val="4D7210FB"/>
    <w:rsid w:val="4DA77ACF"/>
    <w:rsid w:val="4DBF6CC1"/>
    <w:rsid w:val="4DC046CA"/>
    <w:rsid w:val="4DD76EC8"/>
    <w:rsid w:val="4E1C4FF8"/>
    <w:rsid w:val="4E376C74"/>
    <w:rsid w:val="4E3F330C"/>
    <w:rsid w:val="4E7B0827"/>
    <w:rsid w:val="4E917A97"/>
    <w:rsid w:val="4EF0595D"/>
    <w:rsid w:val="4F1370AB"/>
    <w:rsid w:val="4F412B01"/>
    <w:rsid w:val="4FBA06F6"/>
    <w:rsid w:val="4FDD4331"/>
    <w:rsid w:val="50054E77"/>
    <w:rsid w:val="507765C9"/>
    <w:rsid w:val="50BD7AAC"/>
    <w:rsid w:val="50D16600"/>
    <w:rsid w:val="51197E61"/>
    <w:rsid w:val="51205824"/>
    <w:rsid w:val="51265DCD"/>
    <w:rsid w:val="515E7EF1"/>
    <w:rsid w:val="517429E6"/>
    <w:rsid w:val="51A67F94"/>
    <w:rsid w:val="52064DE0"/>
    <w:rsid w:val="5222743D"/>
    <w:rsid w:val="52403CA7"/>
    <w:rsid w:val="52D8251B"/>
    <w:rsid w:val="52ED14B8"/>
    <w:rsid w:val="53056C25"/>
    <w:rsid w:val="531A51D8"/>
    <w:rsid w:val="53583995"/>
    <w:rsid w:val="53640F07"/>
    <w:rsid w:val="536966BB"/>
    <w:rsid w:val="537F562B"/>
    <w:rsid w:val="53881096"/>
    <w:rsid w:val="539C5015"/>
    <w:rsid w:val="53C2401E"/>
    <w:rsid w:val="53CA5B59"/>
    <w:rsid w:val="53EE7914"/>
    <w:rsid w:val="540463E4"/>
    <w:rsid w:val="54076C20"/>
    <w:rsid w:val="540B1872"/>
    <w:rsid w:val="54641DC1"/>
    <w:rsid w:val="54650DBE"/>
    <w:rsid w:val="55154436"/>
    <w:rsid w:val="551F30A1"/>
    <w:rsid w:val="55CC1183"/>
    <w:rsid w:val="55E76E15"/>
    <w:rsid w:val="55EA6DA3"/>
    <w:rsid w:val="563630BF"/>
    <w:rsid w:val="564305FB"/>
    <w:rsid w:val="567B4896"/>
    <w:rsid w:val="56F76433"/>
    <w:rsid w:val="571C2FD0"/>
    <w:rsid w:val="57594EFC"/>
    <w:rsid w:val="57700F6E"/>
    <w:rsid w:val="57AD6A1D"/>
    <w:rsid w:val="58380D64"/>
    <w:rsid w:val="586A462B"/>
    <w:rsid w:val="58D27E59"/>
    <w:rsid w:val="58F14B7A"/>
    <w:rsid w:val="58F957B7"/>
    <w:rsid w:val="58FD6FED"/>
    <w:rsid w:val="59576D4C"/>
    <w:rsid w:val="596E6F1A"/>
    <w:rsid w:val="596F3D42"/>
    <w:rsid w:val="598429AC"/>
    <w:rsid w:val="59F453AD"/>
    <w:rsid w:val="5A3E4FAA"/>
    <w:rsid w:val="5A5B354A"/>
    <w:rsid w:val="5A982923"/>
    <w:rsid w:val="5B0B6928"/>
    <w:rsid w:val="5B196C99"/>
    <w:rsid w:val="5B3835AC"/>
    <w:rsid w:val="5B433922"/>
    <w:rsid w:val="5B503B32"/>
    <w:rsid w:val="5B8D7206"/>
    <w:rsid w:val="5B930DD1"/>
    <w:rsid w:val="5BAC7A78"/>
    <w:rsid w:val="5C336669"/>
    <w:rsid w:val="5C4054E1"/>
    <w:rsid w:val="5C4F6D5A"/>
    <w:rsid w:val="5CDF2478"/>
    <w:rsid w:val="5D8F4CDD"/>
    <w:rsid w:val="5DDE2999"/>
    <w:rsid w:val="5DDF7B8B"/>
    <w:rsid w:val="5DFF5CAE"/>
    <w:rsid w:val="5E3F0B0F"/>
    <w:rsid w:val="5E7F63D8"/>
    <w:rsid w:val="5EA06B48"/>
    <w:rsid w:val="5EA10B14"/>
    <w:rsid w:val="5EE94D50"/>
    <w:rsid w:val="5F1F25A4"/>
    <w:rsid w:val="5F250FCE"/>
    <w:rsid w:val="5F85266D"/>
    <w:rsid w:val="5F9156AE"/>
    <w:rsid w:val="5FB92469"/>
    <w:rsid w:val="5FD456BE"/>
    <w:rsid w:val="609B2BFC"/>
    <w:rsid w:val="60B4281B"/>
    <w:rsid w:val="60DC0987"/>
    <w:rsid w:val="611509F4"/>
    <w:rsid w:val="61204F39"/>
    <w:rsid w:val="613B7687"/>
    <w:rsid w:val="62052EBE"/>
    <w:rsid w:val="630C6A8F"/>
    <w:rsid w:val="63890940"/>
    <w:rsid w:val="63A00F0B"/>
    <w:rsid w:val="63DB631F"/>
    <w:rsid w:val="63E22730"/>
    <w:rsid w:val="63E23BC8"/>
    <w:rsid w:val="63FA775F"/>
    <w:rsid w:val="63FF27B0"/>
    <w:rsid w:val="642F3689"/>
    <w:rsid w:val="645E1594"/>
    <w:rsid w:val="6460770D"/>
    <w:rsid w:val="646D635A"/>
    <w:rsid w:val="64725590"/>
    <w:rsid w:val="64871305"/>
    <w:rsid w:val="64924D06"/>
    <w:rsid w:val="64B423DB"/>
    <w:rsid w:val="64FD3387"/>
    <w:rsid w:val="6542172E"/>
    <w:rsid w:val="654237DA"/>
    <w:rsid w:val="659547D7"/>
    <w:rsid w:val="65B16D03"/>
    <w:rsid w:val="65B1747B"/>
    <w:rsid w:val="65BD7D77"/>
    <w:rsid w:val="65C83537"/>
    <w:rsid w:val="65D0656B"/>
    <w:rsid w:val="65DF1E5A"/>
    <w:rsid w:val="65F27B56"/>
    <w:rsid w:val="6619487F"/>
    <w:rsid w:val="66435A8F"/>
    <w:rsid w:val="6679437E"/>
    <w:rsid w:val="669421B7"/>
    <w:rsid w:val="66F053BA"/>
    <w:rsid w:val="67235F6B"/>
    <w:rsid w:val="67606CC9"/>
    <w:rsid w:val="67912D73"/>
    <w:rsid w:val="67AE06E9"/>
    <w:rsid w:val="67B67E82"/>
    <w:rsid w:val="67B82863"/>
    <w:rsid w:val="67C12BDA"/>
    <w:rsid w:val="6864099B"/>
    <w:rsid w:val="687154B8"/>
    <w:rsid w:val="68743F23"/>
    <w:rsid w:val="6884428F"/>
    <w:rsid w:val="689F02BB"/>
    <w:rsid w:val="68AB3415"/>
    <w:rsid w:val="68C83287"/>
    <w:rsid w:val="68CA1D7F"/>
    <w:rsid w:val="68D75FE7"/>
    <w:rsid w:val="68DB340E"/>
    <w:rsid w:val="68EE32B8"/>
    <w:rsid w:val="68FC4EA8"/>
    <w:rsid w:val="69153E4B"/>
    <w:rsid w:val="6976704D"/>
    <w:rsid w:val="6A6E109C"/>
    <w:rsid w:val="6A7C0823"/>
    <w:rsid w:val="6AB41E86"/>
    <w:rsid w:val="6AC82698"/>
    <w:rsid w:val="6AD01DA5"/>
    <w:rsid w:val="6AD94E07"/>
    <w:rsid w:val="6ADF7A26"/>
    <w:rsid w:val="6AEA2E7A"/>
    <w:rsid w:val="6B0F2E65"/>
    <w:rsid w:val="6B871069"/>
    <w:rsid w:val="6BB230FC"/>
    <w:rsid w:val="6BF30986"/>
    <w:rsid w:val="6C001A7D"/>
    <w:rsid w:val="6C0532B2"/>
    <w:rsid w:val="6C47435B"/>
    <w:rsid w:val="6CA17075"/>
    <w:rsid w:val="6CF65FAA"/>
    <w:rsid w:val="6CFD6E61"/>
    <w:rsid w:val="6D251853"/>
    <w:rsid w:val="6D4544BC"/>
    <w:rsid w:val="6D6847D5"/>
    <w:rsid w:val="6DA36765"/>
    <w:rsid w:val="6DDB0DE7"/>
    <w:rsid w:val="6DF42C38"/>
    <w:rsid w:val="6DFE57D5"/>
    <w:rsid w:val="6E0E03F4"/>
    <w:rsid w:val="6E4E778C"/>
    <w:rsid w:val="6E660505"/>
    <w:rsid w:val="6E6B5CF4"/>
    <w:rsid w:val="6E7D7067"/>
    <w:rsid w:val="6E930639"/>
    <w:rsid w:val="6ED507F2"/>
    <w:rsid w:val="6EFA3FE4"/>
    <w:rsid w:val="6EFB5523"/>
    <w:rsid w:val="6F234840"/>
    <w:rsid w:val="6F2D1550"/>
    <w:rsid w:val="6F477C85"/>
    <w:rsid w:val="6F545076"/>
    <w:rsid w:val="6F8A45C3"/>
    <w:rsid w:val="6FA72793"/>
    <w:rsid w:val="70352DEB"/>
    <w:rsid w:val="70513B76"/>
    <w:rsid w:val="70522F3E"/>
    <w:rsid w:val="70582D7B"/>
    <w:rsid w:val="70DE5DC9"/>
    <w:rsid w:val="70E90973"/>
    <w:rsid w:val="70E92D56"/>
    <w:rsid w:val="71074E83"/>
    <w:rsid w:val="71124C02"/>
    <w:rsid w:val="715C646B"/>
    <w:rsid w:val="719B03E2"/>
    <w:rsid w:val="71BE2551"/>
    <w:rsid w:val="71C1289E"/>
    <w:rsid w:val="71FB6E0C"/>
    <w:rsid w:val="72943870"/>
    <w:rsid w:val="72A4578A"/>
    <w:rsid w:val="72C07D26"/>
    <w:rsid w:val="73786020"/>
    <w:rsid w:val="739A351F"/>
    <w:rsid w:val="739B3901"/>
    <w:rsid w:val="73CB3A6B"/>
    <w:rsid w:val="73CC26EE"/>
    <w:rsid w:val="73E51E8A"/>
    <w:rsid w:val="73F46424"/>
    <w:rsid w:val="741E53B8"/>
    <w:rsid w:val="742F5249"/>
    <w:rsid w:val="74344A84"/>
    <w:rsid w:val="745D6BD4"/>
    <w:rsid w:val="74F4740A"/>
    <w:rsid w:val="756B5EAD"/>
    <w:rsid w:val="7581079F"/>
    <w:rsid w:val="75BB6F60"/>
    <w:rsid w:val="75C454BF"/>
    <w:rsid w:val="75D139AC"/>
    <w:rsid w:val="763B6AD5"/>
    <w:rsid w:val="76B267CD"/>
    <w:rsid w:val="76C770D1"/>
    <w:rsid w:val="77046D59"/>
    <w:rsid w:val="771B1EEA"/>
    <w:rsid w:val="77D57852"/>
    <w:rsid w:val="783C73D8"/>
    <w:rsid w:val="78ED2187"/>
    <w:rsid w:val="78F36E62"/>
    <w:rsid w:val="79496D79"/>
    <w:rsid w:val="797C11B4"/>
    <w:rsid w:val="799B707D"/>
    <w:rsid w:val="7AA531F8"/>
    <w:rsid w:val="7AC81905"/>
    <w:rsid w:val="7AEC71F7"/>
    <w:rsid w:val="7B322D73"/>
    <w:rsid w:val="7B513EE7"/>
    <w:rsid w:val="7B717245"/>
    <w:rsid w:val="7BD03193"/>
    <w:rsid w:val="7BD76AF1"/>
    <w:rsid w:val="7BD808EB"/>
    <w:rsid w:val="7CF43A5E"/>
    <w:rsid w:val="7D316E6F"/>
    <w:rsid w:val="7D4B63A9"/>
    <w:rsid w:val="7D9B4784"/>
    <w:rsid w:val="7DA407FB"/>
    <w:rsid w:val="7DB10D5A"/>
    <w:rsid w:val="7DB73D1F"/>
    <w:rsid w:val="7DCF3FD4"/>
    <w:rsid w:val="7DD777EC"/>
    <w:rsid w:val="7DD954A3"/>
    <w:rsid w:val="7E125AA2"/>
    <w:rsid w:val="7E18015C"/>
    <w:rsid w:val="7E346FD0"/>
    <w:rsid w:val="7E696CC0"/>
    <w:rsid w:val="7E9B7C85"/>
    <w:rsid w:val="7EA37C43"/>
    <w:rsid w:val="7EE6355B"/>
    <w:rsid w:val="7EF80E50"/>
    <w:rsid w:val="7F3A764A"/>
    <w:rsid w:val="7F4F246A"/>
    <w:rsid w:val="7FA8119F"/>
    <w:rsid w:val="7FD5285F"/>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70"/>
    <w:qFormat/>
    <w:uiPriority w:val="0"/>
    <w:pPr>
      <w:ind w:firstLine="420" w:firstLineChars="100"/>
    </w:pPr>
    <w:rPr>
      <w:sz w:val="16"/>
    </w:rPr>
  </w:style>
  <w:style w:type="paragraph" w:styleId="19">
    <w:name w:val="toc 6"/>
    <w:basedOn w:val="1"/>
    <w:next w:val="1"/>
    <w:qFormat/>
    <w:uiPriority w:val="39"/>
    <w:pPr>
      <w:ind w:left="2100" w:leftChars="1000"/>
    </w:pPr>
    <w:rPr>
      <w:rFonts w:ascii="Times New Roman" w:hAnsi="Times New Roman" w:eastAsia="宋体" w:cs="Times New Roman"/>
      <w:szCs w:val="24"/>
    </w:rPr>
  </w:style>
  <w:style w:type="paragraph" w:styleId="20">
    <w:name w:val="Body Text Indent"/>
    <w:basedOn w:val="1"/>
    <w:link w:val="71"/>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2"/>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3"/>
    <w:qFormat/>
    <w:uiPriority w:val="0"/>
    <w:rPr>
      <w:rFonts w:eastAsia="仿宋_GB2312" w:cs="Times New Roman"/>
      <w:kern w:val="0"/>
      <w:sz w:val="28"/>
      <w:szCs w:val="20"/>
    </w:rPr>
  </w:style>
  <w:style w:type="paragraph" w:styleId="27">
    <w:name w:val="Body Text Indent 2"/>
    <w:basedOn w:val="1"/>
    <w:link w:val="74"/>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5"/>
    <w:qFormat/>
    <w:uiPriority w:val="0"/>
    <w:pPr>
      <w:snapToGrid w:val="0"/>
      <w:jc w:val="left"/>
    </w:pPr>
    <w:rPr>
      <w:rFonts w:cs="Times New Roman"/>
      <w:kern w:val="0"/>
      <w:sz w:val="20"/>
      <w:szCs w:val="20"/>
    </w:rPr>
  </w:style>
  <w:style w:type="paragraph" w:styleId="29">
    <w:name w:val="Balloon Text"/>
    <w:basedOn w:val="1"/>
    <w:link w:val="76"/>
    <w:semiHidden/>
    <w:qFormat/>
    <w:uiPriority w:val="0"/>
    <w:rPr>
      <w:rFonts w:cs="Times New Roman"/>
      <w:kern w:val="0"/>
      <w:sz w:val="18"/>
      <w:szCs w:val="18"/>
    </w:rPr>
  </w:style>
  <w:style w:type="paragraph" w:styleId="30">
    <w:name w:val="footer"/>
    <w:basedOn w:val="1"/>
    <w:link w:val="77"/>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8"/>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9"/>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80"/>
    <w:qFormat/>
    <w:uiPriority w:val="0"/>
    <w:pPr>
      <w:snapToGrid w:val="0"/>
      <w:jc w:val="left"/>
    </w:pPr>
    <w:rPr>
      <w:rFonts w:cs="Times New Roman"/>
      <w:kern w:val="0"/>
      <w:sz w:val="18"/>
      <w:szCs w:val="20"/>
    </w:rPr>
  </w:style>
  <w:style w:type="paragraph" w:styleId="36">
    <w:name w:val="Body Text Indent 3"/>
    <w:basedOn w:val="1"/>
    <w:link w:val="81"/>
    <w:qFormat/>
    <w:uiPriority w:val="99"/>
    <w:pPr>
      <w:spacing w:after="120" w:afterLines="0"/>
      <w:ind w:left="420" w:leftChars="200"/>
    </w:pPr>
    <w:rPr>
      <w:rFonts w:cs="Times New Roman"/>
      <w:kern w:val="0"/>
      <w:sz w:val="16"/>
      <w:szCs w:val="16"/>
    </w:rPr>
  </w:style>
  <w:style w:type="paragraph" w:styleId="37">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8">
    <w:name w:val="toc 9"/>
    <w:basedOn w:val="1"/>
    <w:next w:val="1"/>
    <w:qFormat/>
    <w:uiPriority w:val="39"/>
    <w:pPr>
      <w:ind w:left="3360" w:leftChars="1600"/>
    </w:pPr>
    <w:rPr>
      <w:rFonts w:ascii="Times New Roman" w:hAnsi="Times New Roman" w:eastAsia="宋体" w:cs="Times New Roman"/>
      <w:szCs w:val="24"/>
    </w:rPr>
  </w:style>
  <w:style w:type="paragraph" w:styleId="39">
    <w:name w:val="Body Text 2"/>
    <w:basedOn w:val="1"/>
    <w:link w:val="82"/>
    <w:qFormat/>
    <w:uiPriority w:val="0"/>
    <w:pPr>
      <w:spacing w:after="120" w:afterLines="0" w:line="480" w:lineRule="auto"/>
    </w:pPr>
    <w:rPr>
      <w:rFonts w:cs="Times New Roman"/>
      <w:kern w:val="0"/>
      <w:sz w:val="20"/>
      <w:szCs w:val="24"/>
    </w:rPr>
  </w:style>
  <w:style w:type="paragraph" w:styleId="40">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1">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2">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3">
    <w:name w:val="Title"/>
    <w:basedOn w:val="1"/>
    <w:next w:val="1"/>
    <w:link w:val="84"/>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4">
    <w:name w:val="annotation subject"/>
    <w:basedOn w:val="15"/>
    <w:next w:val="15"/>
    <w:link w:val="85"/>
    <w:semiHidden/>
    <w:qFormat/>
    <w:uiPriority w:val="0"/>
    <w:rPr>
      <w:b/>
      <w:bCs/>
    </w:rPr>
  </w:style>
  <w:style w:type="paragraph" w:styleId="45">
    <w:name w:val="Body Text First Indent 2"/>
    <w:basedOn w:val="20"/>
    <w:link w:val="86"/>
    <w:unhideWhenUsed/>
    <w:qFormat/>
    <w:uiPriority w:val="99"/>
    <w:pPr>
      <w:ind w:firstLine="420" w:firstLineChars="200"/>
    </w:pPr>
    <w:rPr>
      <w:rFonts w:ascii="Calibri" w:hAnsi="Calibri"/>
      <w:kern w:val="2"/>
      <w:sz w:val="21"/>
      <w:szCs w:val="22"/>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basedOn w:val="48"/>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首行缩进 Char1"/>
    <w:link w:val="18"/>
    <w:qFormat/>
    <w:uiPriority w:val="0"/>
    <w:rPr>
      <w:rFonts w:ascii="Times New Roman" w:hAnsi="Times New Roman" w:eastAsia="宋体" w:cs="Times New Roman"/>
      <w:sz w:val="16"/>
      <w:szCs w:val="24"/>
    </w:rPr>
  </w:style>
  <w:style w:type="character" w:customStyle="1" w:styleId="71">
    <w:name w:val="正文文本缩进 Char"/>
    <w:link w:val="20"/>
    <w:qFormat/>
    <w:uiPriority w:val="0"/>
    <w:rPr>
      <w:rFonts w:ascii="Times New Roman" w:hAnsi="Times New Roman" w:eastAsia="宋体" w:cs="Times New Roman"/>
      <w:szCs w:val="24"/>
    </w:rPr>
  </w:style>
  <w:style w:type="character" w:customStyle="1" w:styleId="72">
    <w:name w:val="纯文本 Char"/>
    <w:link w:val="24"/>
    <w:qFormat/>
    <w:uiPriority w:val="0"/>
    <w:rPr>
      <w:rFonts w:ascii="宋体" w:hAnsi="Courier New" w:eastAsia="宋体" w:cs="Courier New"/>
      <w:szCs w:val="21"/>
    </w:rPr>
  </w:style>
  <w:style w:type="character" w:customStyle="1" w:styleId="73">
    <w:name w:val="日期 Char1"/>
    <w:link w:val="26"/>
    <w:qFormat/>
    <w:uiPriority w:val="0"/>
    <w:rPr>
      <w:rFonts w:ascii="Times New Roman" w:hAnsi="Times New Roman" w:eastAsia="仿宋_GB2312" w:cs="Times New Roman"/>
      <w:sz w:val="28"/>
      <w:szCs w:val="20"/>
    </w:rPr>
  </w:style>
  <w:style w:type="character" w:customStyle="1" w:styleId="74">
    <w:name w:val="正文文本缩进 2 Char1"/>
    <w:link w:val="27"/>
    <w:qFormat/>
    <w:uiPriority w:val="0"/>
    <w:rPr>
      <w:rFonts w:ascii="黑体" w:hAnsi="Times New Roman" w:eastAsia="黑体" w:cs="Times New Roman"/>
      <w:szCs w:val="24"/>
    </w:rPr>
  </w:style>
  <w:style w:type="character" w:customStyle="1" w:styleId="75">
    <w:name w:val="尾注文本 Char"/>
    <w:link w:val="28"/>
    <w:qFormat/>
    <w:uiPriority w:val="0"/>
    <w:rPr>
      <w:rFonts w:ascii="Times New Roman" w:hAnsi="Times New Roman" w:eastAsia="宋体" w:cs="Times New Roman"/>
      <w:szCs w:val="20"/>
    </w:rPr>
  </w:style>
  <w:style w:type="character" w:customStyle="1" w:styleId="76">
    <w:name w:val="批注框文本 Char"/>
    <w:link w:val="29"/>
    <w:semiHidden/>
    <w:qFormat/>
    <w:uiPriority w:val="0"/>
    <w:rPr>
      <w:rFonts w:ascii="Times New Roman" w:hAnsi="Times New Roman" w:eastAsia="宋体" w:cs="Times New Roman"/>
      <w:sz w:val="18"/>
      <w:szCs w:val="18"/>
    </w:rPr>
  </w:style>
  <w:style w:type="character" w:customStyle="1" w:styleId="77">
    <w:name w:val="页脚 Char"/>
    <w:link w:val="30"/>
    <w:qFormat/>
    <w:uiPriority w:val="0"/>
    <w:rPr>
      <w:sz w:val="18"/>
      <w:szCs w:val="18"/>
    </w:rPr>
  </w:style>
  <w:style w:type="character" w:customStyle="1" w:styleId="78">
    <w:name w:val="页眉 Char"/>
    <w:link w:val="31"/>
    <w:qFormat/>
    <w:uiPriority w:val="0"/>
    <w:rPr>
      <w:sz w:val="18"/>
      <w:szCs w:val="18"/>
    </w:rPr>
  </w:style>
  <w:style w:type="character" w:customStyle="1" w:styleId="79">
    <w:name w:val="副标题 Char1"/>
    <w:link w:val="34"/>
    <w:qFormat/>
    <w:uiPriority w:val="0"/>
    <w:rPr>
      <w:rFonts w:ascii="宋体" w:hAnsi="Times New Roman"/>
      <w:b/>
      <w:bCs/>
      <w:sz w:val="28"/>
    </w:rPr>
  </w:style>
  <w:style w:type="character" w:customStyle="1" w:styleId="80">
    <w:name w:val="脚注文本 Char"/>
    <w:link w:val="35"/>
    <w:qFormat/>
    <w:uiPriority w:val="0"/>
    <w:rPr>
      <w:rFonts w:ascii="Times New Roman" w:hAnsi="Times New Roman" w:eastAsia="宋体" w:cs="Times New Roman"/>
      <w:sz w:val="18"/>
      <w:szCs w:val="20"/>
    </w:rPr>
  </w:style>
  <w:style w:type="character" w:customStyle="1" w:styleId="81">
    <w:name w:val="正文文本缩进 3 Char1"/>
    <w:link w:val="36"/>
    <w:semiHidden/>
    <w:qFormat/>
    <w:uiPriority w:val="99"/>
    <w:rPr>
      <w:sz w:val="16"/>
      <w:szCs w:val="16"/>
    </w:rPr>
  </w:style>
  <w:style w:type="character" w:customStyle="1" w:styleId="82">
    <w:name w:val="正文文本 2 Char"/>
    <w:link w:val="39"/>
    <w:qFormat/>
    <w:uiPriority w:val="0"/>
    <w:rPr>
      <w:rFonts w:ascii="Times New Roman" w:hAnsi="Times New Roman" w:eastAsia="宋体" w:cs="Times New Roman"/>
      <w:szCs w:val="24"/>
    </w:rPr>
  </w:style>
  <w:style w:type="character" w:customStyle="1" w:styleId="83">
    <w:name w:val="HTML 预设格式 Char"/>
    <w:link w:val="40"/>
    <w:qFormat/>
    <w:uiPriority w:val="0"/>
    <w:rPr>
      <w:rFonts w:ascii="宋体" w:hAnsi="宋体" w:eastAsia="宋体" w:cs="宋体"/>
      <w:kern w:val="0"/>
      <w:sz w:val="24"/>
      <w:szCs w:val="24"/>
    </w:rPr>
  </w:style>
  <w:style w:type="character" w:customStyle="1" w:styleId="84">
    <w:name w:val="标题 Char2"/>
    <w:link w:val="43"/>
    <w:qFormat/>
    <w:uiPriority w:val="0"/>
    <w:rPr>
      <w:rFonts w:ascii="宋体" w:hAnsi="Times New Roman"/>
      <w:sz w:val="28"/>
    </w:rPr>
  </w:style>
  <w:style w:type="character" w:customStyle="1" w:styleId="85">
    <w:name w:val="批注主题 Char1"/>
    <w:link w:val="44"/>
    <w:semiHidden/>
    <w:qFormat/>
    <w:uiPriority w:val="0"/>
    <w:rPr>
      <w:rFonts w:ascii="Times New Roman" w:hAnsi="Times New Roman" w:eastAsia="宋体" w:cs="Times New Roman"/>
      <w:b/>
      <w:bCs/>
      <w:szCs w:val="24"/>
    </w:rPr>
  </w:style>
  <w:style w:type="character" w:customStyle="1" w:styleId="86">
    <w:name w:val="正文首行缩进 2 Char"/>
    <w:link w:val="45"/>
    <w:semiHidden/>
    <w:qFormat/>
    <w:uiPriority w:val="99"/>
    <w:rPr>
      <w:rFonts w:ascii="Calibri" w:hAnsi="Calibri" w:eastAsia="宋体" w:cs="黑体"/>
      <w:kern w:val="2"/>
      <w:sz w:val="21"/>
      <w:szCs w:val="22"/>
    </w:rPr>
  </w:style>
  <w:style w:type="character" w:customStyle="1" w:styleId="87">
    <w:name w:val="标题4 Char Char"/>
    <w:link w:val="88"/>
    <w:qFormat/>
    <w:uiPriority w:val="0"/>
    <w:rPr>
      <w:rFonts w:ascii="Arial" w:hAnsi="Arial"/>
      <w:b/>
      <w:bCs/>
      <w:sz w:val="24"/>
      <w:szCs w:val="32"/>
      <w:lang w:bidi="ar-SA"/>
    </w:rPr>
  </w:style>
  <w:style w:type="paragraph" w:customStyle="1" w:styleId="88">
    <w:name w:val="标题4"/>
    <w:basedOn w:val="3"/>
    <w:next w:val="21"/>
    <w:link w:val="87"/>
    <w:qFormat/>
    <w:uiPriority w:val="0"/>
    <w:pPr>
      <w:spacing w:before="260" w:after="260" w:line="413" w:lineRule="auto"/>
    </w:pPr>
  </w:style>
  <w:style w:type="character" w:customStyle="1" w:styleId="89">
    <w:name w:val="2nd level Char"/>
    <w:qFormat/>
    <w:uiPriority w:val="0"/>
    <w:rPr>
      <w:rFonts w:ascii="Arial" w:hAnsi="Arial" w:eastAsia="宋体"/>
      <w:b/>
      <w:bCs/>
      <w:kern w:val="2"/>
      <w:sz w:val="24"/>
      <w:szCs w:val="32"/>
      <w:lang w:val="en-US" w:eastAsia="zh-CN" w:bidi="ar-SA"/>
    </w:rPr>
  </w:style>
  <w:style w:type="character" w:customStyle="1" w:styleId="90">
    <w:name w:val="ca-410"/>
    <w:qFormat/>
    <w:uiPriority w:val="0"/>
    <w:rPr>
      <w:rFonts w:hint="eastAsia" w:ascii="宋体" w:hAnsi="宋体" w:eastAsia="宋体"/>
      <w:b/>
      <w:bCs/>
      <w:color w:val="000000"/>
      <w:spacing w:val="-20"/>
      <w:sz w:val="48"/>
      <w:szCs w:val="48"/>
    </w:rPr>
  </w:style>
  <w:style w:type="character" w:customStyle="1" w:styleId="91">
    <w:name w:val="ca-351"/>
    <w:qFormat/>
    <w:uiPriority w:val="0"/>
    <w:rPr>
      <w:rFonts w:hint="default" w:ascii="Times New Roman" w:hAnsi="Times New Roman" w:cs="Times New Roman"/>
      <w:sz w:val="10"/>
      <w:szCs w:val="10"/>
    </w:rPr>
  </w:style>
  <w:style w:type="character" w:customStyle="1" w:styleId="92">
    <w:name w:val="font161"/>
    <w:qFormat/>
    <w:uiPriority w:val="0"/>
    <w:rPr>
      <w:b/>
      <w:bCs/>
      <w:sz w:val="32"/>
      <w:szCs w:val="32"/>
    </w:rPr>
  </w:style>
  <w:style w:type="character" w:customStyle="1" w:styleId="93">
    <w:name w:val="ca-261"/>
    <w:qFormat/>
    <w:uiPriority w:val="0"/>
    <w:rPr>
      <w:rFonts w:hint="eastAsia" w:ascii="宋体" w:hAnsi="宋体" w:eastAsia="宋体"/>
      <w:color w:val="002060"/>
      <w:sz w:val="21"/>
      <w:szCs w:val="21"/>
    </w:rPr>
  </w:style>
  <w:style w:type="character" w:customStyle="1" w:styleId="94">
    <w:name w:val="UserStyle_53"/>
    <w:link w:val="95"/>
    <w:qFormat/>
    <w:uiPriority w:val="0"/>
    <w:rPr>
      <w:rFonts w:ascii="宋体" w:hAnsi="Courier New"/>
    </w:rPr>
  </w:style>
  <w:style w:type="paragraph" w:customStyle="1" w:styleId="95">
    <w:name w:val="PlainText"/>
    <w:basedOn w:val="1"/>
    <w:link w:val="94"/>
    <w:qFormat/>
    <w:uiPriority w:val="0"/>
    <w:pPr>
      <w:widowControl/>
      <w:textAlignment w:val="baseline"/>
    </w:pPr>
    <w:rPr>
      <w:rFonts w:ascii="宋体" w:hAnsi="Courier New" w:cs="Times New Roman"/>
      <w:kern w:val="0"/>
      <w:sz w:val="20"/>
      <w:szCs w:val="20"/>
    </w:rPr>
  </w:style>
  <w:style w:type="character" w:customStyle="1" w:styleId="96">
    <w:name w:val="标题 1 字符"/>
    <w:qFormat/>
    <w:uiPriority w:val="0"/>
    <w:rPr>
      <w:rFonts w:ascii="Times New Roman" w:hAnsi="Times New Roman" w:eastAsia="宋体" w:cs="Times New Roman"/>
      <w:b/>
      <w:bCs/>
      <w:kern w:val="44"/>
      <w:sz w:val="32"/>
      <w:szCs w:val="44"/>
    </w:rPr>
  </w:style>
  <w:style w:type="character" w:customStyle="1" w:styleId="97">
    <w:name w:val="表正文 Char1"/>
    <w:qFormat/>
    <w:uiPriority w:val="0"/>
    <w:rPr>
      <w:rFonts w:eastAsia="宋体"/>
      <w:kern w:val="2"/>
      <w:sz w:val="21"/>
      <w:szCs w:val="24"/>
      <w:lang w:val="en-US" w:eastAsia="zh-CN" w:bidi="ar-SA"/>
    </w:rPr>
  </w:style>
  <w:style w:type="character" w:customStyle="1" w:styleId="98">
    <w:name w:val="Char Char25"/>
    <w:link w:val="99"/>
    <w:qFormat/>
    <w:uiPriority w:val="0"/>
    <w:rPr>
      <w:rFonts w:ascii="Tahoma" w:hAnsi="Tahoma" w:eastAsia="宋体" w:cs="Times New Roman"/>
      <w:sz w:val="24"/>
      <w:szCs w:val="20"/>
    </w:rPr>
  </w:style>
  <w:style w:type="paragraph" w:customStyle="1" w:styleId="99">
    <w:name w:val="Char"/>
    <w:basedOn w:val="1"/>
    <w:link w:val="98"/>
    <w:qFormat/>
    <w:uiPriority w:val="0"/>
    <w:rPr>
      <w:rFonts w:ascii="Tahoma" w:hAnsi="Tahoma" w:cs="Times New Roman"/>
      <w:kern w:val="0"/>
      <w:sz w:val="24"/>
      <w:szCs w:val="20"/>
    </w:rPr>
  </w:style>
  <w:style w:type="character" w:customStyle="1" w:styleId="100">
    <w:name w:val="正文文本缩进 3 Char"/>
    <w:qFormat/>
    <w:uiPriority w:val="0"/>
    <w:rPr>
      <w:rFonts w:eastAsia="宋体"/>
      <w:sz w:val="16"/>
      <w:szCs w:val="16"/>
    </w:rPr>
  </w:style>
  <w:style w:type="character" w:customStyle="1" w:styleId="101">
    <w:name w:val="Char Char12"/>
    <w:qFormat/>
    <w:uiPriority w:val="0"/>
    <w:rPr>
      <w:rFonts w:ascii="Arial" w:hAnsi="Arial" w:eastAsia="宋体"/>
      <w:b/>
      <w:sz w:val="32"/>
      <w:lang w:val="en-US" w:eastAsia="zh-CN" w:bidi="ar-SA"/>
    </w:rPr>
  </w:style>
  <w:style w:type="character" w:customStyle="1" w:styleId="102">
    <w:name w:val="ca-271"/>
    <w:qFormat/>
    <w:uiPriority w:val="0"/>
    <w:rPr>
      <w:rFonts w:hint="eastAsia" w:ascii="宋体" w:hAnsi="宋体" w:eastAsia="宋体"/>
      <w:b/>
      <w:bCs/>
      <w:color w:val="002060"/>
      <w:spacing w:val="-20"/>
      <w:sz w:val="21"/>
      <w:szCs w:val="21"/>
    </w:rPr>
  </w:style>
  <w:style w:type="character" w:customStyle="1" w:styleId="103">
    <w:name w:val=" Char Char9"/>
    <w:qFormat/>
    <w:uiPriority w:val="0"/>
    <w:rPr>
      <w:kern w:val="2"/>
      <w:sz w:val="21"/>
      <w:szCs w:val="22"/>
    </w:rPr>
  </w:style>
  <w:style w:type="character" w:customStyle="1" w:styleId="104">
    <w:name w:val="ca-481"/>
    <w:qFormat/>
    <w:uiPriority w:val="0"/>
    <w:rPr>
      <w:rFonts w:hint="eastAsia" w:ascii="宋体" w:hAnsi="宋体" w:eastAsia="宋体"/>
      <w:color w:val="000000"/>
      <w:sz w:val="26"/>
      <w:szCs w:val="26"/>
    </w:rPr>
  </w:style>
  <w:style w:type="character" w:customStyle="1" w:styleId="105">
    <w:name w:val="ca-511"/>
    <w:qFormat/>
    <w:uiPriority w:val="0"/>
    <w:rPr>
      <w:rFonts w:hint="default" w:ascii="Times New Roman" w:hAnsi="Times New Roman" w:cs="Times New Roman"/>
      <w:b/>
      <w:bCs/>
      <w:color w:val="000000"/>
      <w:spacing w:val="-20"/>
      <w:sz w:val="32"/>
      <w:szCs w:val="32"/>
    </w:rPr>
  </w:style>
  <w:style w:type="character" w:customStyle="1" w:styleId="106">
    <w:name w:val="_Style 105"/>
    <w:qFormat/>
    <w:uiPriority w:val="0"/>
    <w:rPr>
      <w:i/>
      <w:iCs/>
      <w:color w:val="808080"/>
    </w:rPr>
  </w:style>
  <w:style w:type="character" w:customStyle="1" w:styleId="107">
    <w:name w:val="正文文本缩进 2 Char"/>
    <w:qFormat/>
    <w:uiPriority w:val="0"/>
  </w:style>
  <w:style w:type="character" w:customStyle="1" w:styleId="108">
    <w:name w:val="_Style 107"/>
    <w:qFormat/>
    <w:uiPriority w:val="0"/>
    <w:rPr>
      <w:smallCaps/>
      <w:color w:val="C0504D"/>
      <w:u w:val="single"/>
    </w:rPr>
  </w:style>
  <w:style w:type="character" w:customStyle="1" w:styleId="109">
    <w:name w:val="页眉 Char1"/>
    <w:qFormat/>
    <w:uiPriority w:val="0"/>
    <w:rPr>
      <w:rFonts w:eastAsia="宋体"/>
      <w:kern w:val="2"/>
      <w:sz w:val="18"/>
      <w:szCs w:val="18"/>
      <w:lang w:val="en-US" w:eastAsia="zh-CN" w:bidi="ar-SA"/>
    </w:rPr>
  </w:style>
  <w:style w:type="character" w:customStyle="1" w:styleId="110">
    <w:name w:val="Char Char"/>
    <w:qFormat/>
    <w:uiPriority w:val="0"/>
    <w:rPr>
      <w:rFonts w:ascii="Arial" w:hAnsi="Arial" w:eastAsia="黑体"/>
      <w:b/>
      <w:bCs/>
      <w:kern w:val="2"/>
      <w:sz w:val="32"/>
      <w:szCs w:val="32"/>
      <w:lang w:val="en-US" w:eastAsia="zh-CN" w:bidi="ar-SA"/>
    </w:rPr>
  </w:style>
  <w:style w:type="character" w:customStyle="1" w:styleId="111">
    <w:name w:val="ca-181"/>
    <w:qFormat/>
    <w:uiPriority w:val="0"/>
    <w:rPr>
      <w:rFonts w:hint="eastAsia" w:ascii="宋体" w:hAnsi="宋体" w:eastAsia="宋体"/>
      <w:color w:val="000000"/>
      <w:sz w:val="18"/>
      <w:szCs w:val="18"/>
    </w:rPr>
  </w:style>
  <w:style w:type="character" w:customStyle="1" w:styleId="112">
    <w:name w:val="ca-191"/>
    <w:qFormat/>
    <w:uiPriority w:val="0"/>
    <w:rPr>
      <w:rFonts w:hint="default" w:ascii="Times New Roman" w:hAnsi="Times New Roman" w:cs="Times New Roman"/>
      <w:sz w:val="18"/>
      <w:szCs w:val="18"/>
    </w:rPr>
  </w:style>
  <w:style w:type="character" w:customStyle="1" w:styleId="113">
    <w:name w:val="ca-471"/>
    <w:qFormat/>
    <w:uiPriority w:val="0"/>
    <w:rPr>
      <w:rFonts w:hint="eastAsia" w:ascii="宋体" w:hAnsi="宋体" w:eastAsia="宋体"/>
      <w:b/>
      <w:bCs/>
      <w:color w:val="000000"/>
      <w:spacing w:val="-20"/>
      <w:sz w:val="24"/>
      <w:szCs w:val="24"/>
    </w:rPr>
  </w:style>
  <w:style w:type="character" w:customStyle="1" w:styleId="114">
    <w:name w:val="ca-341"/>
    <w:qFormat/>
    <w:uiPriority w:val="0"/>
    <w:rPr>
      <w:rFonts w:hint="eastAsia" w:ascii="宋体" w:hAnsi="宋体" w:eastAsia="宋体"/>
      <w:color w:val="000000"/>
      <w:sz w:val="20"/>
      <w:szCs w:val="20"/>
    </w:rPr>
  </w:style>
  <w:style w:type="character" w:customStyle="1" w:styleId="115">
    <w:name w:val="font61"/>
    <w:basedOn w:val="48"/>
    <w:qFormat/>
    <w:uiPriority w:val="0"/>
    <w:rPr>
      <w:rFonts w:hint="eastAsia" w:ascii="宋体" w:hAnsi="宋体" w:eastAsia="宋体" w:cs="宋体"/>
      <w:color w:val="0000FF"/>
      <w:sz w:val="21"/>
      <w:szCs w:val="21"/>
      <w:u w:val="single"/>
    </w:rPr>
  </w:style>
  <w:style w:type="character" w:customStyle="1" w:styleId="116">
    <w:name w:val="ca-231"/>
    <w:qFormat/>
    <w:uiPriority w:val="0"/>
    <w:rPr>
      <w:rFonts w:hint="default" w:ascii="Times New Roman" w:hAnsi="Times New Roman" w:cs="Times New Roman"/>
      <w:sz w:val="21"/>
      <w:szCs w:val="21"/>
    </w:rPr>
  </w:style>
  <w:style w:type="character" w:customStyle="1" w:styleId="117">
    <w:name w:val="ca-301"/>
    <w:qFormat/>
    <w:uiPriority w:val="0"/>
    <w:rPr>
      <w:rFonts w:hint="default" w:ascii="??" w:hAnsi="??"/>
      <w:color w:val="002060"/>
      <w:sz w:val="21"/>
      <w:szCs w:val="21"/>
    </w:rPr>
  </w:style>
  <w:style w:type="character" w:customStyle="1" w:styleId="118">
    <w:name w:val="apple-style-span"/>
    <w:qFormat/>
    <w:uiPriority w:val="0"/>
  </w:style>
  <w:style w:type="character" w:customStyle="1" w:styleId="119">
    <w:name w:val="ca-241"/>
    <w:qFormat/>
    <w:uiPriority w:val="0"/>
    <w:rPr>
      <w:rFonts w:hint="eastAsia" w:ascii="宋体" w:hAnsi="宋体" w:eastAsia="宋体"/>
      <w:sz w:val="24"/>
      <w:szCs w:val="24"/>
    </w:rPr>
  </w:style>
  <w:style w:type="character" w:customStyle="1" w:styleId="120">
    <w:name w:val="ca-81"/>
    <w:qFormat/>
    <w:uiPriority w:val="0"/>
    <w:rPr>
      <w:rFonts w:hint="eastAsia" w:ascii="宋体" w:hAnsi="宋体" w:eastAsia="宋体"/>
      <w:color w:val="000000"/>
      <w:sz w:val="28"/>
      <w:szCs w:val="28"/>
    </w:rPr>
  </w:style>
  <w:style w:type="character" w:customStyle="1" w:styleId="121">
    <w:name w:val="明显引用 Char"/>
    <w:link w:val="122"/>
    <w:qFormat/>
    <w:uiPriority w:val="0"/>
    <w:rPr>
      <w:b/>
      <w:bCs/>
      <w:i/>
      <w:iCs/>
      <w:color w:val="4F81BD"/>
      <w:kern w:val="2"/>
      <w:sz w:val="21"/>
      <w:szCs w:val="22"/>
      <w:lang w:bidi="ar-SA"/>
    </w:rPr>
  </w:style>
  <w:style w:type="paragraph" w:styleId="122">
    <w:name w:val="Intense Quote"/>
    <w:basedOn w:val="1"/>
    <w:next w:val="1"/>
    <w:link w:val="121"/>
    <w:qFormat/>
    <w:uiPriority w:val="0"/>
    <w:pPr>
      <w:pBdr>
        <w:bottom w:val="single" w:color="4F81BD" w:sz="4" w:space="4"/>
      </w:pBdr>
      <w:spacing w:before="200" w:after="280"/>
      <w:ind w:left="936" w:right="936"/>
    </w:pPr>
    <w:rPr>
      <w:rFonts w:cs="Times New Roman"/>
      <w:b/>
      <w:bCs/>
      <w:i/>
      <w:iCs/>
      <w:color w:val="4F81BD"/>
    </w:rPr>
  </w:style>
  <w:style w:type="character" w:customStyle="1" w:styleId="123">
    <w:name w:val="正文文本 Char1"/>
    <w:qFormat/>
    <w:uiPriority w:val="0"/>
    <w:rPr>
      <w:kern w:val="2"/>
      <w:sz w:val="21"/>
      <w:szCs w:val="22"/>
    </w:rPr>
  </w:style>
  <w:style w:type="character" w:customStyle="1" w:styleId="124">
    <w:name w:val="font01"/>
    <w:basedOn w:val="48"/>
    <w:qFormat/>
    <w:uiPriority w:val="0"/>
    <w:rPr>
      <w:rFonts w:ascii="宋体" w:hAnsi="宋体" w:eastAsia="宋体" w:cs="宋体"/>
      <w:color w:val="000000"/>
      <w:sz w:val="22"/>
      <w:szCs w:val="22"/>
      <w:u w:val="none"/>
    </w:rPr>
  </w:style>
  <w:style w:type="character" w:customStyle="1" w:styleId="125">
    <w:name w:val="ca-201"/>
    <w:qFormat/>
    <w:uiPriority w:val="0"/>
    <w:rPr>
      <w:rFonts w:hint="default" w:ascii="??" w:hAnsi="??"/>
      <w:color w:val="000000"/>
      <w:sz w:val="18"/>
      <w:szCs w:val="18"/>
    </w:rPr>
  </w:style>
  <w:style w:type="character" w:customStyle="1" w:styleId="126">
    <w:name w:val="文档结构图 Char1"/>
    <w:qFormat/>
    <w:uiPriority w:val="0"/>
    <w:rPr>
      <w:rFonts w:ascii="宋体"/>
      <w:kern w:val="2"/>
      <w:sz w:val="18"/>
      <w:szCs w:val="18"/>
    </w:rPr>
  </w:style>
  <w:style w:type="character" w:customStyle="1" w:styleId="127">
    <w:name w:val="项目圆 Char Char"/>
    <w:link w:val="128"/>
    <w:qFormat/>
    <w:uiPriority w:val="0"/>
    <w:rPr>
      <w:rFonts w:ascii="Calibri" w:hAnsi="Calibri"/>
      <w:kern w:val="2"/>
      <w:sz w:val="24"/>
      <w:szCs w:val="22"/>
    </w:rPr>
  </w:style>
  <w:style w:type="paragraph" w:customStyle="1" w:styleId="128">
    <w:name w:val="项目圆"/>
    <w:basedOn w:val="1"/>
    <w:link w:val="127"/>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29">
    <w:name w:val="ca-101"/>
    <w:qFormat/>
    <w:uiPriority w:val="0"/>
    <w:rPr>
      <w:rFonts w:hint="default" w:ascii="Times New Roman" w:hAnsi="Times New Roman" w:cs="Times New Roman"/>
      <w:color w:val="000000"/>
      <w:sz w:val="52"/>
      <w:szCs w:val="52"/>
    </w:rPr>
  </w:style>
  <w:style w:type="character" w:customStyle="1" w:styleId="130">
    <w:name w:val=" Char Char14"/>
    <w:qFormat/>
    <w:uiPriority w:val="0"/>
    <w:rPr>
      <w:b/>
      <w:bCs/>
      <w:kern w:val="2"/>
      <w:sz w:val="28"/>
      <w:szCs w:val="28"/>
    </w:rPr>
  </w:style>
  <w:style w:type="character" w:customStyle="1" w:styleId="131">
    <w:name w:val=" Char Char5"/>
    <w:qFormat/>
    <w:uiPriority w:val="0"/>
    <w:rPr>
      <w:rFonts w:ascii="Times New Roman" w:hAnsi="Times New Roman"/>
      <w:szCs w:val="24"/>
      <w:shd w:val="clear" w:color="auto" w:fill="000080"/>
    </w:rPr>
  </w:style>
  <w:style w:type="character" w:customStyle="1" w:styleId="132">
    <w:name w:val="ca-451"/>
    <w:qFormat/>
    <w:uiPriority w:val="0"/>
    <w:rPr>
      <w:rFonts w:hint="eastAsia" w:ascii="宋体" w:hAnsi="宋体" w:eastAsia="宋体"/>
      <w:color w:val="000000"/>
      <w:sz w:val="72"/>
      <w:szCs w:val="72"/>
    </w:rPr>
  </w:style>
  <w:style w:type="character" w:customStyle="1" w:styleId="133">
    <w:name w:val="font41"/>
    <w:basedOn w:val="48"/>
    <w:qFormat/>
    <w:uiPriority w:val="0"/>
    <w:rPr>
      <w:rFonts w:hint="eastAsia" w:ascii="宋体" w:hAnsi="宋体" w:eastAsia="宋体" w:cs="宋体"/>
      <w:color w:val="0000FF"/>
      <w:sz w:val="21"/>
      <w:szCs w:val="21"/>
      <w:u w:val="none"/>
    </w:rPr>
  </w:style>
  <w:style w:type="character" w:customStyle="1" w:styleId="134">
    <w:name w:val="ca-491"/>
    <w:qFormat/>
    <w:uiPriority w:val="0"/>
    <w:rPr>
      <w:rFonts w:hint="eastAsia" w:ascii="宋体" w:hAnsi="宋体" w:eastAsia="宋体"/>
      <w:spacing w:val="0"/>
      <w:sz w:val="32"/>
      <w:szCs w:val="32"/>
    </w:rPr>
  </w:style>
  <w:style w:type="character" w:customStyle="1" w:styleId="135">
    <w:name w:val="ca-521"/>
    <w:qFormat/>
    <w:uiPriority w:val="0"/>
    <w:rPr>
      <w:rFonts w:hint="eastAsia" w:ascii="宋体" w:hAnsi="宋体" w:eastAsia="宋体"/>
      <w:b/>
      <w:bCs/>
      <w:spacing w:val="-20"/>
      <w:sz w:val="36"/>
      <w:szCs w:val="36"/>
    </w:rPr>
  </w:style>
  <w:style w:type="character" w:customStyle="1" w:styleId="136">
    <w:name w:val="font31"/>
    <w:basedOn w:val="48"/>
    <w:qFormat/>
    <w:uiPriority w:val="0"/>
    <w:rPr>
      <w:rFonts w:hint="eastAsia" w:ascii="宋体" w:hAnsi="宋体" w:eastAsia="宋体" w:cs="宋体"/>
      <w:color w:val="FF0000"/>
      <w:sz w:val="21"/>
      <w:szCs w:val="21"/>
      <w:u w:val="none"/>
    </w:rPr>
  </w:style>
  <w:style w:type="character" w:customStyle="1" w:styleId="137">
    <w:name w:val="fontstyle01"/>
    <w:qFormat/>
    <w:uiPriority w:val="0"/>
    <w:rPr>
      <w:rFonts w:ascii="Arial" w:hAnsi="Arial" w:cs="Arial"/>
      <w:b/>
      <w:color w:val="000000"/>
      <w:sz w:val="50"/>
      <w:szCs w:val="50"/>
    </w:rPr>
  </w:style>
  <w:style w:type="character" w:customStyle="1" w:styleId="138">
    <w:name w:val="ca-91"/>
    <w:qFormat/>
    <w:uiPriority w:val="0"/>
    <w:rPr>
      <w:rFonts w:hint="eastAsia" w:ascii="楷体_GB2312" w:eastAsia="楷体_GB2312"/>
      <w:color w:val="000000"/>
      <w:spacing w:val="20"/>
      <w:sz w:val="96"/>
      <w:szCs w:val="96"/>
    </w:rPr>
  </w:style>
  <w:style w:type="character" w:customStyle="1" w:styleId="139">
    <w:name w:val="ca-141"/>
    <w:qFormat/>
    <w:uiPriority w:val="0"/>
    <w:rPr>
      <w:rFonts w:hint="default" w:ascii="Times New Roman" w:hAnsi="Times New Roman" w:cs="Times New Roman"/>
      <w:color w:val="000000"/>
      <w:sz w:val="24"/>
      <w:szCs w:val="24"/>
    </w:rPr>
  </w:style>
  <w:style w:type="character" w:customStyle="1" w:styleId="140">
    <w:name w:val="ca-171"/>
    <w:qFormat/>
    <w:uiPriority w:val="0"/>
    <w:rPr>
      <w:rFonts w:hint="default" w:ascii="Times New Roman" w:hAnsi="Times New Roman" w:cs="Times New Roman"/>
      <w:b/>
      <w:bCs/>
      <w:spacing w:val="-20"/>
      <w:sz w:val="24"/>
      <w:szCs w:val="24"/>
    </w:rPr>
  </w:style>
  <w:style w:type="character" w:customStyle="1" w:styleId="141">
    <w:name w:val="ca-281"/>
    <w:qFormat/>
    <w:uiPriority w:val="0"/>
    <w:rPr>
      <w:rFonts w:hint="eastAsia" w:ascii="宋体" w:hAnsi="宋体" w:eastAsia="宋体"/>
      <w:color w:val="FF0000"/>
      <w:sz w:val="21"/>
      <w:szCs w:val="21"/>
    </w:rPr>
  </w:style>
  <w:style w:type="character" w:customStyle="1" w:styleId="142">
    <w:name w:val="ca-531"/>
    <w:qFormat/>
    <w:uiPriority w:val="0"/>
    <w:rPr>
      <w:rFonts w:hint="default" w:ascii="Times New Roman" w:hAnsi="Times New Roman" w:cs="Times New Roman"/>
      <w:b/>
      <w:bCs/>
      <w:spacing w:val="-20"/>
      <w:sz w:val="36"/>
      <w:szCs w:val="36"/>
    </w:rPr>
  </w:style>
  <w:style w:type="character" w:customStyle="1" w:styleId="143">
    <w:name w:val="ca-221"/>
    <w:qFormat/>
    <w:uiPriority w:val="0"/>
    <w:rPr>
      <w:rFonts w:hint="eastAsia" w:ascii="宋体" w:hAnsi="宋体" w:eastAsia="宋体"/>
      <w:sz w:val="21"/>
      <w:szCs w:val="21"/>
    </w:rPr>
  </w:style>
  <w:style w:type="character" w:customStyle="1" w:styleId="144">
    <w:name w:val=" Char Char15"/>
    <w:qFormat/>
    <w:uiPriority w:val="0"/>
    <w:rPr>
      <w:rFonts w:ascii="Cambria" w:hAnsi="Cambria" w:eastAsia="宋体" w:cs="Times New Roman"/>
      <w:b/>
      <w:bCs/>
      <w:kern w:val="2"/>
      <w:sz w:val="28"/>
      <w:szCs w:val="28"/>
    </w:rPr>
  </w:style>
  <w:style w:type="character" w:customStyle="1" w:styleId="145">
    <w:name w:val="ca-310"/>
    <w:qFormat/>
    <w:uiPriority w:val="0"/>
    <w:rPr>
      <w:rFonts w:hint="default" w:ascii="Times New Roman" w:hAnsi="Times New Roman" w:cs="Times New Roman"/>
      <w:b/>
      <w:bCs/>
      <w:color w:val="000000"/>
      <w:spacing w:val="-20"/>
      <w:sz w:val="48"/>
      <w:szCs w:val="48"/>
    </w:rPr>
  </w:style>
  <w:style w:type="character" w:customStyle="1" w:styleId="146">
    <w:name w:val="ca-161"/>
    <w:qFormat/>
    <w:uiPriority w:val="0"/>
    <w:rPr>
      <w:rFonts w:hint="eastAsia" w:ascii="宋体" w:hAnsi="宋体" w:eastAsia="宋体"/>
      <w:sz w:val="24"/>
      <w:szCs w:val="24"/>
    </w:rPr>
  </w:style>
  <w:style w:type="character" w:customStyle="1" w:styleId="147">
    <w:name w:val="副标题 Char"/>
    <w:qFormat/>
    <w:uiPriority w:val="0"/>
    <w:rPr>
      <w:rFonts w:ascii="Cambria" w:hAnsi="Cambria"/>
      <w:b/>
      <w:bCs/>
      <w:kern w:val="28"/>
      <w:sz w:val="32"/>
      <w:szCs w:val="32"/>
      <w:lang w:bidi="ar-SA"/>
    </w:rPr>
  </w:style>
  <w:style w:type="character" w:customStyle="1" w:styleId="148">
    <w:name w:val="font51"/>
    <w:basedOn w:val="48"/>
    <w:qFormat/>
    <w:uiPriority w:val="0"/>
    <w:rPr>
      <w:rFonts w:hint="eastAsia" w:ascii="宋体" w:hAnsi="宋体" w:eastAsia="宋体" w:cs="宋体"/>
      <w:color w:val="000000"/>
      <w:sz w:val="21"/>
      <w:szCs w:val="21"/>
      <w:u w:val="single"/>
    </w:rPr>
  </w:style>
  <w:style w:type="character" w:customStyle="1" w:styleId="149">
    <w:name w:val="Heading 3 - old Char"/>
    <w:qFormat/>
    <w:uiPriority w:val="0"/>
    <w:rPr>
      <w:rFonts w:eastAsia="宋体"/>
      <w:b/>
      <w:bCs/>
      <w:kern w:val="2"/>
      <w:sz w:val="21"/>
      <w:szCs w:val="32"/>
      <w:lang w:val="en-US" w:eastAsia="zh-CN" w:bidi="ar-SA"/>
    </w:rPr>
  </w:style>
  <w:style w:type="character" w:customStyle="1" w:styleId="150">
    <w:name w:val="by jerry Char Char"/>
    <w:qFormat/>
    <w:uiPriority w:val="0"/>
    <w:rPr>
      <w:rFonts w:eastAsia="宋体"/>
      <w:b/>
      <w:bCs/>
      <w:kern w:val="44"/>
      <w:sz w:val="32"/>
      <w:szCs w:val="44"/>
      <w:lang w:val="en-US" w:eastAsia="zh-CN" w:bidi="ar-SA"/>
    </w:rPr>
  </w:style>
  <w:style w:type="character" w:customStyle="1" w:styleId="151">
    <w:name w:val="_Style 150"/>
    <w:qFormat/>
    <w:uiPriority w:val="0"/>
    <w:rPr>
      <w:b/>
      <w:bCs/>
      <w:smallCaps/>
      <w:color w:val="C0504D"/>
      <w:spacing w:val="5"/>
      <w:u w:val="single"/>
    </w:rPr>
  </w:style>
  <w:style w:type="character" w:customStyle="1" w:styleId="152">
    <w:name w:val="ca-61"/>
    <w:qFormat/>
    <w:uiPriority w:val="0"/>
    <w:rPr>
      <w:rFonts w:hint="eastAsia" w:ascii="宋体" w:hAnsi="宋体" w:eastAsia="宋体"/>
      <w:color w:val="000000"/>
      <w:sz w:val="30"/>
      <w:szCs w:val="30"/>
    </w:rPr>
  </w:style>
  <w:style w:type="character" w:customStyle="1" w:styleId="153">
    <w:name w:val="font21"/>
    <w:basedOn w:val="48"/>
    <w:qFormat/>
    <w:uiPriority w:val="0"/>
    <w:rPr>
      <w:rFonts w:ascii="宋体" w:hAnsi="宋体" w:eastAsia="宋体" w:cs="宋体"/>
      <w:color w:val="000000"/>
      <w:sz w:val="22"/>
      <w:szCs w:val="22"/>
      <w:u w:val="none"/>
    </w:rPr>
  </w:style>
  <w:style w:type="character" w:customStyle="1" w:styleId="154">
    <w:name w:val=" Char Char13"/>
    <w:qFormat/>
    <w:uiPriority w:val="0"/>
    <w:rPr>
      <w:rFonts w:ascii="Cambria" w:hAnsi="Cambria" w:eastAsia="宋体" w:cs="Times New Roman"/>
      <w:b/>
      <w:bCs/>
      <w:kern w:val="2"/>
      <w:sz w:val="24"/>
      <w:szCs w:val="24"/>
    </w:rPr>
  </w:style>
  <w:style w:type="character" w:customStyle="1" w:styleId="155">
    <w:name w:val="ca-71"/>
    <w:qFormat/>
    <w:uiPriority w:val="0"/>
    <w:rPr>
      <w:rFonts w:hint="default" w:ascii="Times New Roman" w:hAnsi="Times New Roman" w:cs="Times New Roman"/>
      <w:color w:val="000000"/>
      <w:sz w:val="28"/>
      <w:szCs w:val="28"/>
    </w:rPr>
  </w:style>
  <w:style w:type="character" w:customStyle="1" w:styleId="156">
    <w:name w:val="ca-331"/>
    <w:qFormat/>
    <w:uiPriority w:val="0"/>
    <w:rPr>
      <w:rFonts w:hint="eastAsia" w:ascii="宋体" w:hAnsi="宋体" w:eastAsia="宋体"/>
      <w:b/>
      <w:bCs/>
      <w:color w:val="002060"/>
      <w:spacing w:val="-20"/>
      <w:sz w:val="20"/>
      <w:szCs w:val="20"/>
    </w:rPr>
  </w:style>
  <w:style w:type="character" w:customStyle="1" w:styleId="15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158">
    <w:name w:val="批注框文本 Char1"/>
    <w:qFormat/>
    <w:uiPriority w:val="0"/>
    <w:rPr>
      <w:kern w:val="2"/>
      <w:sz w:val="18"/>
      <w:szCs w:val="18"/>
    </w:rPr>
  </w:style>
  <w:style w:type="character" w:customStyle="1" w:styleId="159">
    <w:name w:val="NormalCharacter"/>
    <w:qFormat/>
    <w:uiPriority w:val="0"/>
  </w:style>
  <w:style w:type="character" w:customStyle="1" w:styleId="160">
    <w:name w:val="ca-151"/>
    <w:qFormat/>
    <w:uiPriority w:val="0"/>
    <w:rPr>
      <w:rFonts w:hint="eastAsia" w:ascii="宋体" w:hAnsi="宋体" w:eastAsia="宋体"/>
      <w:caps/>
      <w:color w:val="000000"/>
      <w:sz w:val="24"/>
      <w:szCs w:val="24"/>
    </w:rPr>
  </w:style>
  <w:style w:type="character" w:customStyle="1" w:styleId="161">
    <w:name w:val="ca-210"/>
    <w:qFormat/>
    <w:uiPriority w:val="0"/>
    <w:rPr>
      <w:rFonts w:hint="default" w:ascii="Times New Roman" w:hAnsi="Times New Roman" w:cs="Times New Roman"/>
      <w:color w:val="000000"/>
      <w:sz w:val="36"/>
      <w:szCs w:val="36"/>
    </w:rPr>
  </w:style>
  <w:style w:type="character" w:customStyle="1" w:styleId="162">
    <w:name w:val="日期 Char"/>
    <w:qFormat/>
    <w:uiPriority w:val="0"/>
  </w:style>
  <w:style w:type="character" w:customStyle="1" w:styleId="163">
    <w:name w:val="标题 2 字符"/>
    <w:qFormat/>
    <w:uiPriority w:val="0"/>
    <w:rPr>
      <w:rFonts w:ascii="Arial" w:hAnsi="Arial" w:eastAsia="宋体" w:cs="Times New Roman"/>
      <w:b/>
      <w:bCs/>
      <w:sz w:val="24"/>
      <w:szCs w:val="32"/>
    </w:rPr>
  </w:style>
  <w:style w:type="character" w:customStyle="1" w:styleId="164">
    <w:name w:val="标题5 Char Char"/>
    <w:link w:val="165"/>
    <w:qFormat/>
    <w:uiPriority w:val="0"/>
    <w:rPr>
      <w:rFonts w:ascii="Arial" w:hAnsi="Arial"/>
      <w:b/>
      <w:bCs/>
      <w:sz w:val="24"/>
      <w:szCs w:val="32"/>
      <w:lang w:bidi="ar-SA"/>
    </w:rPr>
  </w:style>
  <w:style w:type="paragraph" w:customStyle="1" w:styleId="165">
    <w:name w:val="标题5"/>
    <w:basedOn w:val="4"/>
    <w:link w:val="164"/>
    <w:qFormat/>
    <w:uiPriority w:val="0"/>
    <w:pPr>
      <w:spacing w:before="260" w:after="260" w:line="413" w:lineRule="auto"/>
      <w:ind w:firstLine="0" w:firstLineChars="0"/>
    </w:pPr>
    <w:rPr>
      <w:rFonts w:ascii="Arial" w:hAnsi="Arial"/>
      <w:sz w:val="24"/>
    </w:rPr>
  </w:style>
  <w:style w:type="character" w:customStyle="1" w:styleId="166">
    <w:name w:val=" Char Char18"/>
    <w:qFormat/>
    <w:uiPriority w:val="0"/>
    <w:rPr>
      <w:b/>
      <w:bCs/>
      <w:kern w:val="44"/>
      <w:sz w:val="44"/>
      <w:szCs w:val="44"/>
    </w:rPr>
  </w:style>
  <w:style w:type="character" w:customStyle="1" w:styleId="167">
    <w:name w:val=" Char Char"/>
    <w:qFormat/>
    <w:uiPriority w:val="0"/>
    <w:rPr>
      <w:rFonts w:ascii="宋体" w:hAnsi="Times New Roman"/>
      <w:sz w:val="18"/>
      <w:szCs w:val="18"/>
    </w:rPr>
  </w:style>
  <w:style w:type="character" w:customStyle="1" w:styleId="168">
    <w:name w:val="ca-391"/>
    <w:qFormat/>
    <w:uiPriority w:val="0"/>
    <w:rPr>
      <w:rFonts w:hint="eastAsia" w:ascii="宋体" w:hAnsi="宋体" w:eastAsia="宋体"/>
      <w:b/>
      <w:bCs/>
      <w:color w:val="000000"/>
      <w:spacing w:val="-20"/>
      <w:sz w:val="28"/>
      <w:szCs w:val="28"/>
    </w:rPr>
  </w:style>
  <w:style w:type="character" w:customStyle="1" w:styleId="169">
    <w:name w:val="zbggmain style9"/>
    <w:qFormat/>
    <w:uiPriority w:val="0"/>
  </w:style>
  <w:style w:type="character" w:customStyle="1" w:styleId="170">
    <w:name w:val="font11"/>
    <w:basedOn w:val="48"/>
    <w:qFormat/>
    <w:uiPriority w:val="0"/>
    <w:rPr>
      <w:rFonts w:hint="eastAsia" w:ascii="宋体" w:hAnsi="宋体" w:eastAsia="宋体" w:cs="宋体"/>
      <w:color w:val="000000"/>
      <w:sz w:val="22"/>
      <w:szCs w:val="22"/>
      <w:u w:val="none"/>
    </w:rPr>
  </w:style>
  <w:style w:type="character" w:customStyle="1" w:styleId="171">
    <w:name w:val="页眉 Char2"/>
    <w:qFormat/>
    <w:uiPriority w:val="0"/>
    <w:rPr>
      <w:sz w:val="18"/>
      <w:szCs w:val="18"/>
    </w:rPr>
  </w:style>
  <w:style w:type="character" w:customStyle="1" w:styleId="172">
    <w:name w:val="标题 Char1"/>
    <w:qFormat/>
    <w:uiPriority w:val="0"/>
    <w:rPr>
      <w:rFonts w:ascii="Arial" w:hAnsi="Arial" w:eastAsia="宋体" w:cs="Times New Roman"/>
      <w:b/>
      <w:kern w:val="0"/>
      <w:sz w:val="32"/>
      <w:szCs w:val="20"/>
    </w:rPr>
  </w:style>
  <w:style w:type="character" w:customStyle="1" w:styleId="173">
    <w:name w:val="ca-361"/>
    <w:qFormat/>
    <w:uiPriority w:val="0"/>
    <w:rPr>
      <w:rFonts w:hint="eastAsia" w:ascii="宋体" w:hAnsi="宋体" w:eastAsia="宋体"/>
      <w:b/>
      <w:bCs/>
      <w:spacing w:val="-20"/>
      <w:sz w:val="21"/>
      <w:szCs w:val="21"/>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ca-211"/>
    <w:qFormat/>
    <w:uiPriority w:val="0"/>
    <w:rPr>
      <w:rFonts w:hint="eastAsia" w:ascii="宋体" w:hAnsi="宋体" w:eastAsia="宋体"/>
      <w:color w:val="000000"/>
      <w:sz w:val="21"/>
      <w:szCs w:val="21"/>
    </w:rPr>
  </w:style>
  <w:style w:type="character" w:customStyle="1" w:styleId="176">
    <w:name w:val="font71"/>
    <w:basedOn w:val="48"/>
    <w:qFormat/>
    <w:uiPriority w:val="0"/>
    <w:rPr>
      <w:rFonts w:hint="eastAsia" w:ascii="宋体" w:hAnsi="宋体" w:eastAsia="宋体" w:cs="宋体"/>
      <w:color w:val="000000"/>
      <w:sz w:val="24"/>
      <w:szCs w:val="24"/>
      <w:u w:val="none"/>
    </w:rPr>
  </w:style>
  <w:style w:type="character" w:customStyle="1" w:styleId="177">
    <w:name w:val="标题 Char"/>
    <w:qFormat/>
    <w:uiPriority w:val="0"/>
    <w:rPr>
      <w:rFonts w:ascii="Cambria" w:hAnsi="Cambria" w:eastAsia="宋体" w:cs="黑体"/>
      <w:b/>
      <w:bCs/>
      <w:sz w:val="32"/>
      <w:szCs w:val="32"/>
    </w:rPr>
  </w:style>
  <w:style w:type="character" w:customStyle="1" w:styleId="178">
    <w:name w:val="zbggtop11 style5"/>
    <w:qFormat/>
    <w:uiPriority w:val="0"/>
  </w:style>
  <w:style w:type="character" w:customStyle="1" w:styleId="179">
    <w:name w:val="textcontents"/>
    <w:qFormat/>
    <w:uiPriority w:val="0"/>
    <w:rPr>
      <w:rFonts w:cs="Times New Roman"/>
    </w:rPr>
  </w:style>
  <w:style w:type="character" w:customStyle="1" w:styleId="180">
    <w:name w:val="ca-54"/>
    <w:qFormat/>
    <w:uiPriority w:val="0"/>
    <w:rPr>
      <w:rFonts w:hint="eastAsia" w:ascii="宋体" w:hAnsi="宋体" w:eastAsia="宋体"/>
      <w:b/>
      <w:bCs/>
      <w:color w:val="000000"/>
      <w:spacing w:val="40"/>
      <w:sz w:val="48"/>
      <w:szCs w:val="48"/>
    </w:rPr>
  </w:style>
  <w:style w:type="character" w:customStyle="1" w:styleId="181">
    <w:name w:val=" Char Char11"/>
    <w:qFormat/>
    <w:uiPriority w:val="0"/>
    <w:rPr>
      <w:rFonts w:ascii="Cambria" w:hAnsi="Cambria" w:eastAsia="宋体" w:cs="Times New Roman"/>
      <w:kern w:val="2"/>
      <w:sz w:val="24"/>
      <w:szCs w:val="24"/>
    </w:rPr>
  </w:style>
  <w:style w:type="character" w:customStyle="1" w:styleId="182">
    <w:name w:val="批注文字 Char Char"/>
    <w:qFormat/>
    <w:uiPriority w:val="0"/>
    <w:rPr>
      <w:rFonts w:ascii="宋体" w:hAnsi="Times New Roman" w:eastAsia="宋体" w:cs="Times New Roman"/>
      <w:sz w:val="28"/>
      <w:szCs w:val="20"/>
    </w:rPr>
  </w:style>
  <w:style w:type="character" w:customStyle="1" w:styleId="183">
    <w:name w:val="_Style 182"/>
    <w:qFormat/>
    <w:uiPriority w:val="0"/>
    <w:rPr>
      <w:b/>
      <w:bCs/>
      <w:i/>
      <w:iCs/>
      <w:color w:val="4F81BD"/>
    </w:rPr>
  </w:style>
  <w:style w:type="character" w:customStyle="1" w:styleId="184">
    <w:name w:val="15"/>
    <w:qFormat/>
    <w:uiPriority w:val="0"/>
    <w:rPr>
      <w:rFonts w:hint="default" w:ascii="Times New Roman" w:hAnsi="Times New Roman" w:cs="Times New Roman"/>
      <w:color w:val="464445"/>
      <w:u w:val="none"/>
    </w:rPr>
  </w:style>
  <w:style w:type="character" w:customStyle="1" w:styleId="185">
    <w:name w:val="ca-111"/>
    <w:qFormat/>
    <w:uiPriority w:val="0"/>
    <w:rPr>
      <w:rFonts w:hint="default" w:ascii="Times New Roman" w:hAnsi="Times New Roman" w:cs="Times New Roman"/>
      <w:color w:val="000000"/>
      <w:sz w:val="30"/>
      <w:szCs w:val="30"/>
    </w:rPr>
  </w:style>
  <w:style w:type="character" w:customStyle="1" w:styleId="186">
    <w:name w:val=" Char Char4"/>
    <w:qFormat/>
    <w:uiPriority w:val="0"/>
    <w:rPr>
      <w:rFonts w:ascii="Times New Roman" w:hAnsi="Times New Roman"/>
    </w:rPr>
  </w:style>
  <w:style w:type="character" w:customStyle="1" w:styleId="187">
    <w:name w:val="批注文字 Char"/>
    <w:qFormat/>
    <w:uiPriority w:val="0"/>
  </w:style>
  <w:style w:type="character" w:customStyle="1" w:styleId="188">
    <w:name w:val=" Char Char12"/>
    <w:qFormat/>
    <w:uiPriority w:val="0"/>
    <w:rPr>
      <w:b/>
      <w:bCs/>
      <w:kern w:val="2"/>
      <w:sz w:val="24"/>
      <w:szCs w:val="24"/>
    </w:rPr>
  </w:style>
  <w:style w:type="character" w:customStyle="1" w:styleId="189">
    <w:name w:val="style11"/>
    <w:qFormat/>
    <w:uiPriority w:val="0"/>
    <w:rPr>
      <w:sz w:val="27"/>
      <w:szCs w:val="27"/>
    </w:rPr>
  </w:style>
  <w:style w:type="character" w:customStyle="1" w:styleId="190">
    <w:name w:val=" Char Char16"/>
    <w:qFormat/>
    <w:uiPriority w:val="0"/>
    <w:rPr>
      <w:b/>
      <w:bCs/>
      <w:kern w:val="2"/>
      <w:sz w:val="32"/>
      <w:szCs w:val="32"/>
    </w:rPr>
  </w:style>
  <w:style w:type="character" w:customStyle="1" w:styleId="191">
    <w:name w:val="ca-501"/>
    <w:qFormat/>
    <w:uiPriority w:val="0"/>
    <w:rPr>
      <w:rFonts w:hint="eastAsia" w:ascii="宋体" w:hAnsi="宋体" w:eastAsia="宋体"/>
      <w:spacing w:val="0"/>
      <w:sz w:val="24"/>
      <w:szCs w:val="24"/>
    </w:rPr>
  </w:style>
  <w:style w:type="character" w:customStyle="1" w:styleId="192">
    <w:name w:val=" Char Char7"/>
    <w:qFormat/>
    <w:uiPriority w:val="0"/>
    <w:rPr>
      <w:rFonts w:ascii="Cambria" w:hAnsi="Cambria" w:cs="Times New Roman"/>
      <w:b/>
      <w:bCs/>
      <w:kern w:val="2"/>
      <w:sz w:val="32"/>
      <w:szCs w:val="32"/>
    </w:rPr>
  </w:style>
  <w:style w:type="character" w:customStyle="1" w:styleId="193">
    <w:name w:val="ca-131"/>
    <w:qFormat/>
    <w:uiPriority w:val="0"/>
    <w:rPr>
      <w:rFonts w:hint="eastAsia" w:ascii="宋体" w:hAnsi="宋体" w:eastAsia="宋体"/>
      <w:color w:val="000000"/>
      <w:sz w:val="32"/>
      <w:szCs w:val="32"/>
    </w:rPr>
  </w:style>
  <w:style w:type="character" w:customStyle="1" w:styleId="194">
    <w:name w:val="页脚 Char1"/>
    <w:qFormat/>
    <w:uiPriority w:val="0"/>
    <w:rPr>
      <w:rFonts w:eastAsia="宋体"/>
      <w:kern w:val="2"/>
      <w:sz w:val="18"/>
      <w:szCs w:val="18"/>
      <w:lang w:val="en-US" w:eastAsia="zh-CN" w:bidi="ar-SA"/>
    </w:rPr>
  </w:style>
  <w:style w:type="character" w:customStyle="1" w:styleId="195">
    <w:name w:val="批注主题 Char"/>
    <w:qFormat/>
    <w:uiPriority w:val="0"/>
    <w:rPr>
      <w:b/>
      <w:bCs/>
    </w:rPr>
  </w:style>
  <w:style w:type="character" w:customStyle="1" w:styleId="196">
    <w:name w:val="ca-291"/>
    <w:qFormat/>
    <w:uiPriority w:val="0"/>
    <w:rPr>
      <w:rFonts w:hint="eastAsia" w:ascii="宋体" w:hAnsi="宋体" w:eastAsia="宋体"/>
      <w:color w:val="7030A0"/>
      <w:sz w:val="21"/>
      <w:szCs w:val="21"/>
    </w:rPr>
  </w:style>
  <w:style w:type="character" w:customStyle="1" w:styleId="197">
    <w:name w:val="Footer-Even Char"/>
    <w:qFormat/>
    <w:uiPriority w:val="0"/>
    <w:rPr>
      <w:rFonts w:eastAsia="宋体"/>
      <w:kern w:val="2"/>
      <w:sz w:val="18"/>
      <w:szCs w:val="18"/>
      <w:lang w:val="en-US" w:eastAsia="zh-CN" w:bidi="ar-SA"/>
    </w:rPr>
  </w:style>
  <w:style w:type="character" w:customStyle="1" w:styleId="198">
    <w:name w:val="ca-311"/>
    <w:qFormat/>
    <w:uiPriority w:val="0"/>
    <w:rPr>
      <w:rFonts w:hint="default" w:ascii="??" w:hAnsi="??"/>
      <w:color w:val="000000"/>
      <w:sz w:val="21"/>
      <w:szCs w:val="21"/>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431"/>
    <w:qFormat/>
    <w:uiPriority w:val="0"/>
    <w:rPr>
      <w:rFonts w:hint="eastAsia" w:ascii="宋体" w:hAnsi="宋体" w:eastAsia="宋体"/>
      <w:color w:val="000000"/>
      <w:sz w:val="44"/>
      <w:szCs w:val="44"/>
    </w:rPr>
  </w:style>
  <w:style w:type="character" w:customStyle="1" w:styleId="202">
    <w:name w:val="正文首行缩进 Char"/>
    <w:qFormat/>
    <w:uiPriority w:val="0"/>
  </w:style>
  <w:style w:type="character" w:customStyle="1" w:styleId="203">
    <w:name w:val="ca-251"/>
    <w:qFormat/>
    <w:uiPriority w:val="0"/>
    <w:rPr>
      <w:rFonts w:hint="default" w:ascii="Times New Roman" w:hAnsi="Times New Roman" w:cs="Times New Roman"/>
      <w:sz w:val="21"/>
      <w:szCs w:val="21"/>
    </w:rPr>
  </w:style>
  <w:style w:type="character" w:customStyle="1" w:styleId="204">
    <w:name w:val=" Char Char10"/>
    <w:qFormat/>
    <w:uiPriority w:val="0"/>
    <w:rPr>
      <w:rFonts w:ascii="Cambria" w:hAnsi="Cambria" w:eastAsia="宋体" w:cs="Times New Roman"/>
      <w:kern w:val="2"/>
      <w:sz w:val="21"/>
      <w:szCs w:val="21"/>
    </w:rPr>
  </w:style>
  <w:style w:type="character" w:customStyle="1" w:styleId="205">
    <w:name w:val="ca-321"/>
    <w:qFormat/>
    <w:uiPriority w:val="0"/>
    <w:rPr>
      <w:rFonts w:hint="eastAsia" w:ascii="宋体" w:hAnsi="宋体" w:eastAsia="宋体"/>
      <w:b/>
      <w:bCs/>
      <w:color w:val="C00000"/>
      <w:spacing w:val="-20"/>
      <w:sz w:val="21"/>
      <w:szCs w:val="21"/>
    </w:rPr>
  </w:style>
  <w:style w:type="character" w:customStyle="1" w:styleId="206">
    <w:name w:val="ca-401"/>
    <w:qFormat/>
    <w:uiPriority w:val="0"/>
    <w:rPr>
      <w:rFonts w:hint="default" w:ascii="Times New Roman" w:hAnsi="Times New Roman" w:cs="Times New Roman"/>
      <w:sz w:val="20"/>
      <w:szCs w:val="20"/>
    </w:rPr>
  </w:style>
  <w:style w:type="character" w:customStyle="1" w:styleId="207">
    <w:name w:val="ca-441"/>
    <w:qFormat/>
    <w:uiPriority w:val="0"/>
    <w:rPr>
      <w:rFonts w:hint="eastAsia" w:ascii="宋体" w:hAnsi="宋体" w:eastAsia="宋体"/>
      <w:color w:val="000000"/>
      <w:sz w:val="52"/>
      <w:szCs w:val="52"/>
    </w:rPr>
  </w:style>
  <w:style w:type="character" w:customStyle="1" w:styleId="208">
    <w:name w:val="Char Char9"/>
    <w:qFormat/>
    <w:uiPriority w:val="0"/>
    <w:rPr>
      <w:rFonts w:eastAsia="宋体"/>
      <w:color w:val="000000"/>
      <w:kern w:val="2"/>
      <w:sz w:val="24"/>
      <w:lang w:val="en-US" w:eastAsia="zh-CN" w:bidi="ar-SA"/>
    </w:rPr>
  </w:style>
  <w:style w:type="character" w:customStyle="1" w:styleId="209">
    <w:name w:val="ca-121"/>
    <w:qFormat/>
    <w:uiPriority w:val="0"/>
    <w:rPr>
      <w:rFonts w:hint="default" w:ascii="Times New Roman" w:hAnsi="Times New Roman" w:cs="Times New Roman"/>
      <w:color w:val="000000"/>
      <w:sz w:val="32"/>
      <w:szCs w:val="32"/>
    </w:rPr>
  </w:style>
  <w:style w:type="character" w:customStyle="1" w:styleId="210">
    <w:name w:val="手改 Char Char"/>
    <w:qFormat/>
    <w:uiPriority w:val="0"/>
    <w:rPr>
      <w:rFonts w:eastAsia="宋体"/>
      <w:kern w:val="2"/>
      <w:sz w:val="21"/>
      <w:szCs w:val="24"/>
      <w:lang w:val="en-US" w:eastAsia="zh-CN" w:bidi="ar-SA"/>
    </w:rPr>
  </w:style>
  <w:style w:type="character" w:customStyle="1" w:styleId="211">
    <w:name w:val=" Char Char3"/>
    <w:uiPriority w:val="0"/>
    <w:rPr>
      <w:kern w:val="2"/>
      <w:sz w:val="18"/>
      <w:szCs w:val="18"/>
    </w:rPr>
  </w:style>
  <w:style w:type="character" w:customStyle="1" w:styleId="212">
    <w:name w:val="正文文字4 Char Char"/>
    <w:qFormat/>
    <w:uiPriority w:val="0"/>
    <w:rPr>
      <w:rFonts w:eastAsia="宋体"/>
      <w:kern w:val="2"/>
      <w:sz w:val="21"/>
      <w:szCs w:val="24"/>
      <w:lang w:val="en-US" w:eastAsia="zh-CN" w:bidi="ar-SA"/>
    </w:rPr>
  </w:style>
  <w:style w:type="character" w:customStyle="1" w:styleId="213">
    <w:name w:val=" Char Char17"/>
    <w:uiPriority w:val="0"/>
    <w:rPr>
      <w:rFonts w:ascii="Cambria" w:hAnsi="Cambria" w:eastAsia="宋体" w:cs="Times New Roman"/>
      <w:b/>
      <w:bCs/>
      <w:kern w:val="2"/>
      <w:sz w:val="32"/>
      <w:szCs w:val="32"/>
    </w:rPr>
  </w:style>
  <w:style w:type="character" w:customStyle="1" w:styleId="214">
    <w:name w:val=" Char Char6"/>
    <w:qFormat/>
    <w:uiPriority w:val="0"/>
    <w:rPr>
      <w:kern w:val="2"/>
      <w:sz w:val="18"/>
      <w:szCs w:val="18"/>
    </w:rPr>
  </w:style>
  <w:style w:type="character" w:customStyle="1" w:styleId="215">
    <w:name w:val="ca-381"/>
    <w:qFormat/>
    <w:uiPriority w:val="0"/>
    <w:rPr>
      <w:rFonts w:hint="default" w:ascii="Times New Roman" w:hAnsi="Times New Roman" w:cs="Times New Roman"/>
      <w:b/>
      <w:bCs/>
      <w:spacing w:val="-20"/>
      <w:sz w:val="21"/>
      <w:szCs w:val="21"/>
    </w:rPr>
  </w:style>
  <w:style w:type="character" w:customStyle="1" w:styleId="216">
    <w:name w:val="_Style 215"/>
    <w:qFormat/>
    <w:uiPriority w:val="0"/>
    <w:rPr>
      <w:b/>
      <w:bCs/>
      <w:smallCaps/>
      <w:spacing w:val="5"/>
    </w:rPr>
  </w:style>
  <w:style w:type="character" w:customStyle="1" w:styleId="217">
    <w:name w:val="ca-371"/>
    <w:qFormat/>
    <w:uiPriority w:val="0"/>
    <w:rPr>
      <w:rFonts w:hint="eastAsia" w:ascii="宋体" w:hAnsi="宋体" w:eastAsia="宋体"/>
      <w:color w:val="000000"/>
      <w:spacing w:val="0"/>
      <w:sz w:val="21"/>
      <w:szCs w:val="21"/>
    </w:rPr>
  </w:style>
  <w:style w:type="character" w:customStyle="1" w:styleId="218">
    <w:name w:val="ca-461"/>
    <w:qFormat/>
    <w:uiPriority w:val="0"/>
    <w:rPr>
      <w:rFonts w:hint="eastAsia" w:ascii="宋体" w:hAnsi="宋体" w:eastAsia="宋体"/>
      <w:color w:val="000000"/>
      <w:spacing w:val="-20"/>
      <w:sz w:val="28"/>
      <w:szCs w:val="28"/>
    </w:rPr>
  </w:style>
  <w:style w:type="character" w:customStyle="1" w:styleId="219">
    <w:name w:val="ca-421"/>
    <w:qFormat/>
    <w:uiPriority w:val="0"/>
    <w:rPr>
      <w:rFonts w:hint="eastAsia" w:ascii="宋体" w:hAnsi="宋体" w:eastAsia="宋体"/>
      <w:color w:val="000000"/>
      <w:sz w:val="36"/>
      <w:szCs w:val="36"/>
    </w:rPr>
  </w:style>
  <w:style w:type="paragraph" w:customStyle="1" w:styleId="220">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221">
    <w:name w:val="正文2"/>
    <w:basedOn w:val="1"/>
    <w:uiPriority w:val="0"/>
    <w:pPr>
      <w:widowControl w:val="0"/>
      <w:spacing w:before="156" w:line="360" w:lineRule="auto"/>
      <w:ind w:firstLine="510" w:firstLineChars="200"/>
      <w:jc w:val="both"/>
    </w:pPr>
    <w:rPr>
      <w:kern w:val="2"/>
      <w:sz w:val="24"/>
    </w:rPr>
  </w:style>
  <w:style w:type="paragraph" w:customStyle="1" w:styleId="222">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23">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224">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25">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26">
    <w:name w:val="pa-96"/>
    <w:basedOn w:val="1"/>
    <w:qFormat/>
    <w:uiPriority w:val="0"/>
    <w:pPr>
      <w:widowControl/>
      <w:spacing w:line="480" w:lineRule="atLeast"/>
    </w:pPr>
    <w:rPr>
      <w:rFonts w:ascii="宋体" w:hAnsi="宋体" w:eastAsia="宋体" w:cs="宋体"/>
      <w:kern w:val="0"/>
      <w:sz w:val="24"/>
      <w:szCs w:val="24"/>
    </w:rPr>
  </w:style>
  <w:style w:type="paragraph" w:customStyle="1" w:styleId="227">
    <w:name w:val="_Style 4"/>
    <w:basedOn w:val="1"/>
    <w:qFormat/>
    <w:uiPriority w:val="34"/>
    <w:pPr>
      <w:ind w:firstLine="420" w:firstLineChars="200"/>
    </w:pPr>
    <w:rPr>
      <w:rFonts w:cs="Times New Roman"/>
    </w:rPr>
  </w:style>
  <w:style w:type="paragraph" w:customStyle="1" w:styleId="228">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229">
    <w:name w:val="ca-45"/>
    <w:basedOn w:val="1"/>
    <w:qFormat/>
    <w:uiPriority w:val="0"/>
    <w:pPr>
      <w:widowControl/>
      <w:jc w:val="left"/>
    </w:pPr>
    <w:rPr>
      <w:rFonts w:ascii="宋体" w:hAnsi="宋体" w:eastAsia="宋体" w:cs="宋体"/>
      <w:color w:val="000000"/>
      <w:kern w:val="0"/>
      <w:sz w:val="72"/>
      <w:szCs w:val="72"/>
    </w:rPr>
  </w:style>
  <w:style w:type="paragraph" w:customStyle="1" w:styleId="230">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1">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32">
    <w:name w:val="ca-16"/>
    <w:basedOn w:val="1"/>
    <w:qFormat/>
    <w:uiPriority w:val="0"/>
    <w:pPr>
      <w:widowControl/>
      <w:jc w:val="left"/>
    </w:pPr>
    <w:rPr>
      <w:rFonts w:ascii="宋体" w:hAnsi="宋体" w:eastAsia="宋体" w:cs="宋体"/>
      <w:kern w:val="0"/>
      <w:sz w:val="24"/>
      <w:szCs w:val="24"/>
    </w:rPr>
  </w:style>
  <w:style w:type="paragraph" w:customStyle="1" w:styleId="233">
    <w:name w:val="pa-78"/>
    <w:basedOn w:val="1"/>
    <w:qFormat/>
    <w:uiPriority w:val="0"/>
    <w:pPr>
      <w:widowControl/>
      <w:spacing w:line="340" w:lineRule="atLeast"/>
    </w:pPr>
    <w:rPr>
      <w:rFonts w:ascii="宋体" w:hAnsi="宋体" w:eastAsia="宋体" w:cs="宋体"/>
      <w:kern w:val="0"/>
      <w:sz w:val="24"/>
      <w:szCs w:val="24"/>
    </w:rPr>
  </w:style>
  <w:style w:type="paragraph" w:customStyle="1" w:styleId="234">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235">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236">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37">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38">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39">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240">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241">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42">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243">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44">
    <w:name w:val="1"/>
    <w:basedOn w:val="1"/>
    <w:qFormat/>
    <w:uiPriority w:val="0"/>
    <w:rPr>
      <w:rFonts w:ascii="Times New Roman" w:hAnsi="Times New Roman" w:eastAsia="宋体" w:cs="Times New Roman"/>
      <w:szCs w:val="24"/>
    </w:rPr>
  </w:style>
  <w:style w:type="paragraph" w:customStyle="1" w:styleId="245">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246">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247">
    <w:name w:val="ca-37"/>
    <w:basedOn w:val="1"/>
    <w:qFormat/>
    <w:uiPriority w:val="0"/>
    <w:pPr>
      <w:widowControl/>
      <w:jc w:val="left"/>
    </w:pPr>
    <w:rPr>
      <w:rFonts w:ascii="宋体" w:hAnsi="宋体" w:eastAsia="宋体" w:cs="宋体"/>
      <w:color w:val="000000"/>
      <w:kern w:val="0"/>
      <w:szCs w:val="21"/>
    </w:rPr>
  </w:style>
  <w:style w:type="paragraph" w:customStyle="1" w:styleId="248">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249">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250">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251">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252">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253">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54">
    <w:name w:val="Char Char1 Char1"/>
    <w:basedOn w:val="1"/>
    <w:qFormat/>
    <w:uiPriority w:val="0"/>
    <w:rPr>
      <w:rFonts w:ascii="Times New Roman" w:hAnsi="Times New Roman" w:eastAsia="宋体" w:cs="Times New Roman"/>
      <w:szCs w:val="24"/>
    </w:rPr>
  </w:style>
  <w:style w:type="paragraph" w:customStyle="1" w:styleId="255">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256">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25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258">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259">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260">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261">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2">
    <w:name w:val="表格"/>
    <w:basedOn w:val="1"/>
    <w:qFormat/>
    <w:uiPriority w:val="0"/>
    <w:pPr>
      <w:jc w:val="center"/>
      <w:textAlignment w:val="center"/>
    </w:pPr>
    <w:rPr>
      <w:rFonts w:ascii="华文细黑" w:hAnsi="华文细黑" w:eastAsia="宋体" w:cs="Times New Roman"/>
      <w:kern w:val="0"/>
      <w:szCs w:val="20"/>
    </w:rPr>
  </w:style>
  <w:style w:type="paragraph" w:customStyle="1" w:styleId="263">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264">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26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66">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267">
    <w:name w:val="pa-6"/>
    <w:basedOn w:val="1"/>
    <w:qFormat/>
    <w:uiPriority w:val="0"/>
    <w:pPr>
      <w:widowControl/>
      <w:spacing w:line="560" w:lineRule="atLeast"/>
    </w:pPr>
    <w:rPr>
      <w:rFonts w:ascii="宋体" w:hAnsi="宋体" w:eastAsia="宋体" w:cs="宋体"/>
      <w:kern w:val="0"/>
      <w:sz w:val="24"/>
      <w:szCs w:val="24"/>
    </w:rPr>
  </w:style>
  <w:style w:type="paragraph" w:customStyle="1" w:styleId="268">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69">
    <w:name w:val="pa-97"/>
    <w:basedOn w:val="1"/>
    <w:qFormat/>
    <w:uiPriority w:val="0"/>
    <w:pPr>
      <w:widowControl/>
      <w:spacing w:line="720" w:lineRule="atLeast"/>
    </w:pPr>
    <w:rPr>
      <w:rFonts w:ascii="宋体" w:hAnsi="宋体" w:eastAsia="宋体" w:cs="宋体"/>
      <w:kern w:val="0"/>
      <w:sz w:val="24"/>
      <w:szCs w:val="24"/>
    </w:rPr>
  </w:style>
  <w:style w:type="paragraph" w:customStyle="1" w:styleId="270">
    <w:name w:val="ca-43"/>
    <w:basedOn w:val="1"/>
    <w:qFormat/>
    <w:uiPriority w:val="0"/>
    <w:pPr>
      <w:widowControl/>
      <w:jc w:val="left"/>
    </w:pPr>
    <w:rPr>
      <w:rFonts w:ascii="宋体" w:hAnsi="宋体" w:eastAsia="宋体" w:cs="宋体"/>
      <w:color w:val="000000"/>
      <w:kern w:val="0"/>
      <w:sz w:val="44"/>
      <w:szCs w:val="44"/>
    </w:rPr>
  </w:style>
  <w:style w:type="paragraph" w:customStyle="1" w:styleId="271">
    <w:name w:val="ca-40"/>
    <w:basedOn w:val="1"/>
    <w:qFormat/>
    <w:uiPriority w:val="0"/>
    <w:pPr>
      <w:widowControl/>
      <w:jc w:val="left"/>
    </w:pPr>
    <w:rPr>
      <w:rFonts w:ascii="Times New Roman" w:hAnsi="Times New Roman" w:eastAsia="宋体" w:cs="Times New Roman"/>
      <w:kern w:val="0"/>
      <w:sz w:val="20"/>
      <w:szCs w:val="20"/>
    </w:rPr>
  </w:style>
  <w:style w:type="paragraph" w:customStyle="1" w:styleId="272">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273">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274">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75">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276">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277">
    <w:name w:val="pa-106"/>
    <w:basedOn w:val="1"/>
    <w:qFormat/>
    <w:uiPriority w:val="0"/>
    <w:pPr>
      <w:widowControl/>
      <w:spacing w:line="720" w:lineRule="atLeast"/>
    </w:pPr>
    <w:rPr>
      <w:rFonts w:ascii="宋体" w:hAnsi="宋体" w:eastAsia="宋体" w:cs="宋体"/>
      <w:kern w:val="0"/>
      <w:sz w:val="24"/>
      <w:szCs w:val="24"/>
    </w:rPr>
  </w:style>
  <w:style w:type="paragraph" w:customStyle="1" w:styleId="278">
    <w:name w:val="ca-26"/>
    <w:basedOn w:val="1"/>
    <w:qFormat/>
    <w:uiPriority w:val="0"/>
    <w:pPr>
      <w:widowControl/>
      <w:jc w:val="left"/>
    </w:pPr>
    <w:rPr>
      <w:rFonts w:ascii="宋体" w:hAnsi="宋体" w:eastAsia="宋体" w:cs="宋体"/>
      <w:color w:val="002060"/>
      <w:kern w:val="0"/>
      <w:szCs w:val="21"/>
    </w:rPr>
  </w:style>
  <w:style w:type="paragraph" w:customStyle="1" w:styleId="279">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280">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8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282">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83">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284">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285">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286">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287">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288">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289">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90">
    <w:name w:val="ca-6"/>
    <w:basedOn w:val="1"/>
    <w:qFormat/>
    <w:uiPriority w:val="0"/>
    <w:pPr>
      <w:widowControl/>
      <w:jc w:val="left"/>
    </w:pPr>
    <w:rPr>
      <w:rFonts w:ascii="宋体" w:hAnsi="宋体" w:eastAsia="宋体" w:cs="宋体"/>
      <w:color w:val="000000"/>
      <w:kern w:val="0"/>
      <w:sz w:val="30"/>
      <w:szCs w:val="30"/>
    </w:rPr>
  </w:style>
  <w:style w:type="paragraph" w:customStyle="1" w:styleId="291">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92">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93">
    <w:name w:val="pa-12"/>
    <w:basedOn w:val="1"/>
    <w:qFormat/>
    <w:uiPriority w:val="0"/>
    <w:pPr>
      <w:widowControl/>
      <w:spacing w:line="360" w:lineRule="atLeast"/>
    </w:pPr>
    <w:rPr>
      <w:rFonts w:ascii="宋体" w:hAnsi="宋体" w:eastAsia="宋体" w:cs="宋体"/>
      <w:kern w:val="0"/>
      <w:sz w:val="24"/>
      <w:szCs w:val="24"/>
    </w:rPr>
  </w:style>
  <w:style w:type="paragraph" w:customStyle="1" w:styleId="294">
    <w:name w:val="ca-20"/>
    <w:basedOn w:val="1"/>
    <w:qFormat/>
    <w:uiPriority w:val="0"/>
    <w:pPr>
      <w:widowControl/>
      <w:jc w:val="left"/>
    </w:pPr>
    <w:rPr>
      <w:rFonts w:ascii="??" w:hAnsi="??" w:eastAsia="宋体" w:cs="宋体"/>
      <w:color w:val="000000"/>
      <w:kern w:val="0"/>
      <w:sz w:val="18"/>
      <w:szCs w:val="18"/>
    </w:rPr>
  </w:style>
  <w:style w:type="paragraph" w:styleId="295">
    <w:name w:val="List Paragraph"/>
    <w:basedOn w:val="1"/>
    <w:qFormat/>
    <w:uiPriority w:val="0"/>
    <w:pPr>
      <w:ind w:firstLine="420" w:firstLineChars="200"/>
    </w:pPr>
    <w:rPr>
      <w:rFonts w:cs="Times New Roman"/>
    </w:rPr>
  </w:style>
  <w:style w:type="paragraph" w:customStyle="1" w:styleId="296">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97">
    <w:name w:val="ca-48"/>
    <w:basedOn w:val="1"/>
    <w:qFormat/>
    <w:uiPriority w:val="0"/>
    <w:pPr>
      <w:widowControl/>
      <w:jc w:val="left"/>
    </w:pPr>
    <w:rPr>
      <w:rFonts w:ascii="宋体" w:hAnsi="宋体" w:eastAsia="宋体" w:cs="宋体"/>
      <w:color w:val="000000"/>
      <w:kern w:val="0"/>
      <w:sz w:val="26"/>
      <w:szCs w:val="26"/>
    </w:rPr>
  </w:style>
  <w:style w:type="paragraph" w:customStyle="1" w:styleId="298">
    <w:name w:val="pa-7"/>
    <w:basedOn w:val="1"/>
    <w:qFormat/>
    <w:uiPriority w:val="0"/>
    <w:pPr>
      <w:widowControl/>
      <w:spacing w:line="400" w:lineRule="atLeast"/>
    </w:pPr>
    <w:rPr>
      <w:rFonts w:ascii="宋体" w:hAnsi="宋体" w:eastAsia="宋体" w:cs="宋体"/>
      <w:kern w:val="0"/>
      <w:sz w:val="24"/>
      <w:szCs w:val="24"/>
    </w:rPr>
  </w:style>
  <w:style w:type="paragraph" w:customStyle="1" w:styleId="299">
    <w:name w:val="Char Char Char"/>
    <w:basedOn w:val="1"/>
    <w:qFormat/>
    <w:uiPriority w:val="0"/>
    <w:rPr>
      <w:rFonts w:ascii="Tahoma" w:hAnsi="Tahoma" w:eastAsia="宋体" w:cs="Times New Roman"/>
      <w:sz w:val="24"/>
      <w:szCs w:val="20"/>
    </w:rPr>
  </w:style>
  <w:style w:type="paragraph" w:customStyle="1" w:styleId="300">
    <w:name w:val="ca-30"/>
    <w:basedOn w:val="1"/>
    <w:qFormat/>
    <w:uiPriority w:val="0"/>
    <w:pPr>
      <w:widowControl/>
      <w:jc w:val="left"/>
    </w:pPr>
    <w:rPr>
      <w:rFonts w:ascii="??" w:hAnsi="??" w:eastAsia="宋体" w:cs="宋体"/>
      <w:color w:val="002060"/>
      <w:kern w:val="0"/>
      <w:szCs w:val="21"/>
    </w:rPr>
  </w:style>
  <w:style w:type="paragraph" w:customStyle="1" w:styleId="301">
    <w:name w:val="ca-50"/>
    <w:basedOn w:val="1"/>
    <w:qFormat/>
    <w:uiPriority w:val="0"/>
    <w:pPr>
      <w:widowControl/>
      <w:jc w:val="left"/>
    </w:pPr>
    <w:rPr>
      <w:rFonts w:ascii="宋体" w:hAnsi="宋体" w:eastAsia="宋体" w:cs="宋体"/>
      <w:kern w:val="0"/>
      <w:sz w:val="24"/>
      <w:szCs w:val="24"/>
    </w:rPr>
  </w:style>
  <w:style w:type="paragraph" w:customStyle="1" w:styleId="30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3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304">
    <w:name w:val="pa-123"/>
    <w:basedOn w:val="1"/>
    <w:qFormat/>
    <w:uiPriority w:val="0"/>
    <w:pPr>
      <w:widowControl/>
      <w:spacing w:line="360" w:lineRule="atLeast"/>
    </w:pPr>
    <w:rPr>
      <w:rFonts w:ascii="宋体" w:hAnsi="宋体" w:eastAsia="宋体" w:cs="宋体"/>
      <w:kern w:val="0"/>
      <w:sz w:val="24"/>
      <w:szCs w:val="24"/>
    </w:rPr>
  </w:style>
  <w:style w:type="paragraph" w:customStyle="1" w:styleId="305">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6">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07">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308">
    <w:name w:val="ca-28"/>
    <w:basedOn w:val="1"/>
    <w:qFormat/>
    <w:uiPriority w:val="0"/>
    <w:pPr>
      <w:widowControl/>
      <w:jc w:val="left"/>
    </w:pPr>
    <w:rPr>
      <w:rFonts w:ascii="宋体" w:hAnsi="宋体" w:eastAsia="宋体" w:cs="宋体"/>
      <w:color w:val="FF0000"/>
      <w:kern w:val="0"/>
      <w:szCs w:val="21"/>
    </w:rPr>
  </w:style>
  <w:style w:type="paragraph" w:customStyle="1" w:styleId="30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10">
    <w:name w:val="_Style 309"/>
    <w:qFormat/>
    <w:uiPriority w:val="0"/>
    <w:rPr>
      <w:rFonts w:ascii="Times New Roman" w:hAnsi="Times New Roman" w:eastAsia="宋体" w:cs="Times New Roman"/>
      <w:kern w:val="2"/>
      <w:sz w:val="21"/>
      <w:szCs w:val="24"/>
      <w:lang w:val="en-US" w:eastAsia="zh-CN" w:bidi="ar-SA"/>
    </w:rPr>
  </w:style>
  <w:style w:type="paragraph" w:customStyle="1" w:styleId="311">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312">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313">
    <w:name w:val="ca-42"/>
    <w:basedOn w:val="1"/>
    <w:qFormat/>
    <w:uiPriority w:val="0"/>
    <w:pPr>
      <w:widowControl/>
      <w:jc w:val="left"/>
    </w:pPr>
    <w:rPr>
      <w:rFonts w:ascii="宋体" w:hAnsi="宋体" w:eastAsia="宋体" w:cs="宋体"/>
      <w:color w:val="000000"/>
      <w:kern w:val="0"/>
      <w:sz w:val="36"/>
      <w:szCs w:val="36"/>
    </w:rPr>
  </w:style>
  <w:style w:type="paragraph" w:customStyle="1" w:styleId="314">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15">
    <w:name w:val="Char Char Char Char Char Char Char1"/>
    <w:basedOn w:val="1"/>
    <w:qFormat/>
    <w:uiPriority w:val="0"/>
    <w:rPr>
      <w:rFonts w:ascii="Times New Roman" w:hAnsi="Times New Roman" w:eastAsia="宋体" w:cs="Times New Roman"/>
      <w:szCs w:val="24"/>
    </w:rPr>
  </w:style>
  <w:style w:type="paragraph" w:customStyle="1" w:styleId="316">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317">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18">
    <w:name w:val="pa-65"/>
    <w:basedOn w:val="1"/>
    <w:qFormat/>
    <w:uiPriority w:val="0"/>
    <w:pPr>
      <w:widowControl/>
      <w:spacing w:line="360" w:lineRule="atLeast"/>
    </w:pPr>
    <w:rPr>
      <w:rFonts w:ascii="宋体" w:hAnsi="宋体" w:eastAsia="宋体" w:cs="宋体"/>
      <w:kern w:val="0"/>
      <w:sz w:val="24"/>
      <w:szCs w:val="24"/>
    </w:rPr>
  </w:style>
  <w:style w:type="paragraph" w:customStyle="1" w:styleId="319">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320">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321">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22">
    <w:name w:val="Table Paragraph"/>
    <w:basedOn w:val="1"/>
    <w:qFormat/>
    <w:uiPriority w:val="1"/>
    <w:pPr>
      <w:widowControl/>
      <w:jc w:val="left"/>
    </w:pPr>
    <w:rPr>
      <w:rFonts w:ascii="宋体" w:hAnsi="宋体" w:cs="宋体"/>
      <w:kern w:val="0"/>
      <w:sz w:val="20"/>
      <w:szCs w:val="20"/>
    </w:rPr>
  </w:style>
  <w:style w:type="paragraph" w:customStyle="1" w:styleId="323">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324">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25">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326">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7">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328">
    <w:name w:val="ca-22"/>
    <w:basedOn w:val="1"/>
    <w:qFormat/>
    <w:uiPriority w:val="0"/>
    <w:pPr>
      <w:widowControl/>
      <w:jc w:val="left"/>
    </w:pPr>
    <w:rPr>
      <w:rFonts w:ascii="宋体" w:hAnsi="宋体" w:eastAsia="宋体" w:cs="宋体"/>
      <w:kern w:val="0"/>
      <w:szCs w:val="21"/>
    </w:rPr>
  </w:style>
  <w:style w:type="paragraph" w:customStyle="1" w:styleId="329">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0">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331">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2">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3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334">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335">
    <w:name w:val="ca-24"/>
    <w:basedOn w:val="1"/>
    <w:qFormat/>
    <w:uiPriority w:val="0"/>
    <w:pPr>
      <w:widowControl/>
      <w:jc w:val="left"/>
    </w:pPr>
    <w:rPr>
      <w:rFonts w:ascii="宋体" w:hAnsi="宋体" w:eastAsia="宋体" w:cs="宋体"/>
      <w:kern w:val="0"/>
      <w:sz w:val="24"/>
      <w:szCs w:val="24"/>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338">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39">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340">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341">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342">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343">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344">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345">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34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347">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48">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349">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350">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351">
    <w:name w:val="ca-29"/>
    <w:basedOn w:val="1"/>
    <w:qFormat/>
    <w:uiPriority w:val="0"/>
    <w:pPr>
      <w:widowControl/>
      <w:jc w:val="left"/>
    </w:pPr>
    <w:rPr>
      <w:rFonts w:ascii="宋体" w:hAnsi="宋体" w:eastAsia="宋体" w:cs="宋体"/>
      <w:color w:val="7030A0"/>
      <w:kern w:val="0"/>
      <w:szCs w:val="21"/>
    </w:rPr>
  </w:style>
  <w:style w:type="paragraph" w:customStyle="1" w:styleId="352">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353">
    <w:name w:val="默认段落字体 Para Char Char Char Char Char Char Char"/>
    <w:basedOn w:val="1"/>
    <w:qFormat/>
    <w:uiPriority w:val="0"/>
    <w:rPr>
      <w:rFonts w:ascii="Tahoma" w:hAnsi="Tahoma" w:eastAsia="宋体" w:cs="Times New Roman"/>
      <w:sz w:val="24"/>
      <w:szCs w:val="20"/>
    </w:rPr>
  </w:style>
  <w:style w:type="paragraph" w:customStyle="1" w:styleId="354">
    <w:name w:val="pa-112"/>
    <w:basedOn w:val="1"/>
    <w:qFormat/>
    <w:uiPriority w:val="0"/>
    <w:pPr>
      <w:widowControl/>
      <w:spacing w:line="280" w:lineRule="atLeast"/>
    </w:pPr>
    <w:rPr>
      <w:rFonts w:ascii="宋体" w:hAnsi="宋体" w:eastAsia="宋体" w:cs="宋体"/>
      <w:kern w:val="0"/>
      <w:sz w:val="24"/>
      <w:szCs w:val="24"/>
    </w:rPr>
  </w:style>
  <w:style w:type="paragraph" w:customStyle="1" w:styleId="355">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56">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57">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358">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359">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360">
    <w:name w:val="ca-18"/>
    <w:basedOn w:val="1"/>
    <w:qFormat/>
    <w:uiPriority w:val="0"/>
    <w:pPr>
      <w:widowControl/>
      <w:jc w:val="left"/>
    </w:pPr>
    <w:rPr>
      <w:rFonts w:ascii="宋体" w:hAnsi="宋体" w:eastAsia="宋体" w:cs="宋体"/>
      <w:color w:val="000000"/>
      <w:kern w:val="0"/>
      <w:sz w:val="18"/>
      <w:szCs w:val="18"/>
    </w:rPr>
  </w:style>
  <w:style w:type="paragraph" w:customStyle="1" w:styleId="361">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362">
    <w:name w:val="ca-31"/>
    <w:basedOn w:val="1"/>
    <w:qFormat/>
    <w:uiPriority w:val="0"/>
    <w:pPr>
      <w:widowControl/>
      <w:jc w:val="left"/>
    </w:pPr>
    <w:rPr>
      <w:rFonts w:ascii="??" w:hAnsi="??" w:eastAsia="宋体" w:cs="宋体"/>
      <w:color w:val="000000"/>
      <w:kern w:val="0"/>
      <w:szCs w:val="21"/>
    </w:rPr>
  </w:style>
  <w:style w:type="paragraph" w:customStyle="1" w:styleId="363">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364">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365">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368">
    <w:name w:val="pa-11"/>
    <w:basedOn w:val="1"/>
    <w:qFormat/>
    <w:uiPriority w:val="0"/>
    <w:pPr>
      <w:widowControl/>
      <w:spacing w:line="280" w:lineRule="atLeast"/>
    </w:pPr>
    <w:rPr>
      <w:rFonts w:ascii="宋体" w:hAnsi="宋体" w:eastAsia="宋体" w:cs="宋体"/>
      <w:kern w:val="0"/>
      <w:sz w:val="24"/>
      <w:szCs w:val="24"/>
    </w:rPr>
  </w:style>
  <w:style w:type="paragraph" w:customStyle="1" w:styleId="369">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370">
    <w:name w:val="ca-0"/>
    <w:basedOn w:val="1"/>
    <w:qFormat/>
    <w:uiPriority w:val="0"/>
    <w:pPr>
      <w:widowControl/>
      <w:jc w:val="left"/>
    </w:pPr>
    <w:rPr>
      <w:rFonts w:ascii="宋体" w:hAnsi="宋体" w:eastAsia="宋体" w:cs="宋体"/>
      <w:color w:val="000000"/>
      <w:kern w:val="0"/>
      <w:sz w:val="48"/>
      <w:szCs w:val="48"/>
    </w:rPr>
  </w:style>
  <w:style w:type="paragraph" w:customStyle="1" w:styleId="371">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72">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73">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74">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375">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7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377">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378">
    <w:name w:val=" Char"/>
    <w:basedOn w:val="1"/>
    <w:qFormat/>
    <w:uiPriority w:val="0"/>
  </w:style>
  <w:style w:type="paragraph" w:customStyle="1" w:styleId="379">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80">
    <w:name w:val="目录"/>
    <w:basedOn w:val="1"/>
    <w:qFormat/>
    <w:uiPriority w:val="0"/>
    <w:pPr>
      <w:widowControl/>
      <w:jc w:val="center"/>
    </w:pPr>
    <w:rPr>
      <w:rFonts w:ascii="宋体" w:hAnsi="Times New Roman" w:eastAsia="宋体" w:cs="Times New Roman"/>
      <w:b/>
      <w:kern w:val="0"/>
      <w:sz w:val="36"/>
      <w:szCs w:val="20"/>
    </w:rPr>
  </w:style>
  <w:style w:type="paragraph" w:customStyle="1" w:styleId="381">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382">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83">
    <w:name w:val="p0"/>
    <w:basedOn w:val="1"/>
    <w:qFormat/>
    <w:uiPriority w:val="0"/>
    <w:pPr>
      <w:widowControl/>
    </w:pPr>
    <w:rPr>
      <w:rFonts w:cs="Calibri"/>
      <w:kern w:val="0"/>
      <w:szCs w:val="21"/>
    </w:rPr>
  </w:style>
  <w:style w:type="paragraph" w:customStyle="1" w:styleId="384">
    <w:name w:val="pa-8"/>
    <w:basedOn w:val="1"/>
    <w:qFormat/>
    <w:uiPriority w:val="0"/>
    <w:pPr>
      <w:widowControl/>
      <w:spacing w:line="360" w:lineRule="atLeast"/>
    </w:pPr>
    <w:rPr>
      <w:rFonts w:ascii="宋体" w:hAnsi="宋体" w:eastAsia="宋体" w:cs="宋体"/>
      <w:kern w:val="0"/>
      <w:sz w:val="24"/>
      <w:szCs w:val="24"/>
    </w:rPr>
  </w:style>
  <w:style w:type="paragraph" w:customStyle="1" w:styleId="385">
    <w:name w:val="Char1"/>
    <w:basedOn w:val="1"/>
    <w:qFormat/>
    <w:uiPriority w:val="0"/>
    <w:rPr>
      <w:rFonts w:ascii="Times New Roman" w:hAnsi="Times New Roman" w:eastAsia="宋体" w:cs="Times New Roman"/>
      <w:szCs w:val="20"/>
    </w:rPr>
  </w:style>
  <w:style w:type="paragraph" w:customStyle="1" w:styleId="386">
    <w:name w:val="pa-16"/>
    <w:basedOn w:val="1"/>
    <w:qFormat/>
    <w:uiPriority w:val="0"/>
    <w:pPr>
      <w:widowControl/>
      <w:spacing w:line="240" w:lineRule="atLeast"/>
    </w:pPr>
    <w:rPr>
      <w:rFonts w:ascii="宋体" w:hAnsi="宋体" w:eastAsia="宋体" w:cs="宋体"/>
      <w:kern w:val="0"/>
      <w:sz w:val="24"/>
      <w:szCs w:val="24"/>
    </w:rPr>
  </w:style>
  <w:style w:type="paragraph" w:customStyle="1" w:styleId="387">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389">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390">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9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92">
    <w:name w:val="ca-8"/>
    <w:basedOn w:val="1"/>
    <w:qFormat/>
    <w:uiPriority w:val="0"/>
    <w:pPr>
      <w:widowControl/>
      <w:jc w:val="left"/>
    </w:pPr>
    <w:rPr>
      <w:rFonts w:ascii="宋体" w:hAnsi="宋体" w:eastAsia="宋体" w:cs="宋体"/>
      <w:color w:val="000000"/>
      <w:kern w:val="0"/>
      <w:sz w:val="28"/>
      <w:szCs w:val="28"/>
    </w:rPr>
  </w:style>
  <w:style w:type="paragraph" w:customStyle="1" w:styleId="393">
    <w:name w:val="ca-34"/>
    <w:basedOn w:val="1"/>
    <w:qFormat/>
    <w:uiPriority w:val="0"/>
    <w:pPr>
      <w:widowControl/>
      <w:jc w:val="left"/>
    </w:pPr>
    <w:rPr>
      <w:rFonts w:ascii="宋体" w:hAnsi="宋体" w:eastAsia="宋体" w:cs="宋体"/>
      <w:color w:val="000000"/>
      <w:kern w:val="0"/>
      <w:sz w:val="20"/>
      <w:szCs w:val="20"/>
    </w:rPr>
  </w:style>
  <w:style w:type="paragraph" w:customStyle="1" w:styleId="394">
    <w:name w:val="ca-13"/>
    <w:basedOn w:val="1"/>
    <w:qFormat/>
    <w:uiPriority w:val="0"/>
    <w:pPr>
      <w:widowControl/>
      <w:jc w:val="left"/>
    </w:pPr>
    <w:rPr>
      <w:rFonts w:ascii="宋体" w:hAnsi="宋体" w:eastAsia="宋体" w:cs="宋体"/>
      <w:color w:val="000000"/>
      <w:kern w:val="0"/>
      <w:sz w:val="32"/>
      <w:szCs w:val="32"/>
    </w:rPr>
  </w:style>
  <w:style w:type="paragraph" w:customStyle="1" w:styleId="395">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396">
    <w:name w:val="ca-21"/>
    <w:basedOn w:val="1"/>
    <w:qFormat/>
    <w:uiPriority w:val="0"/>
    <w:pPr>
      <w:widowControl/>
      <w:jc w:val="left"/>
    </w:pPr>
    <w:rPr>
      <w:rFonts w:ascii="宋体" w:hAnsi="宋体" w:eastAsia="宋体" w:cs="宋体"/>
      <w:color w:val="000000"/>
      <w:kern w:val="0"/>
      <w:szCs w:val="21"/>
    </w:rPr>
  </w:style>
  <w:style w:type="paragraph" w:customStyle="1" w:styleId="39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398">
    <w:name w:val="pa-105"/>
    <w:basedOn w:val="1"/>
    <w:qFormat/>
    <w:uiPriority w:val="0"/>
    <w:pPr>
      <w:widowControl/>
      <w:spacing w:line="960" w:lineRule="atLeast"/>
    </w:pPr>
    <w:rPr>
      <w:rFonts w:ascii="宋体" w:hAnsi="宋体" w:eastAsia="宋体" w:cs="宋体"/>
      <w:kern w:val="0"/>
      <w:sz w:val="24"/>
      <w:szCs w:val="24"/>
    </w:rPr>
  </w:style>
  <w:style w:type="paragraph" w:customStyle="1" w:styleId="39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400">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401">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402">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403">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404">
    <w:name w:val="ca-52"/>
    <w:basedOn w:val="1"/>
    <w:qFormat/>
    <w:uiPriority w:val="0"/>
    <w:pPr>
      <w:widowControl/>
      <w:jc w:val="left"/>
    </w:pPr>
    <w:rPr>
      <w:rFonts w:ascii="宋体" w:hAnsi="宋体" w:eastAsia="宋体" w:cs="宋体"/>
      <w:b/>
      <w:bCs/>
      <w:spacing w:val="-20"/>
      <w:kern w:val="0"/>
      <w:sz w:val="36"/>
      <w:szCs w:val="36"/>
    </w:rPr>
  </w:style>
  <w:style w:type="paragraph" w:customStyle="1" w:styleId="405">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406">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40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408">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40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410">
    <w:name w:val="pa-132"/>
    <w:basedOn w:val="1"/>
    <w:qFormat/>
    <w:uiPriority w:val="0"/>
    <w:pPr>
      <w:widowControl/>
      <w:spacing w:line="360" w:lineRule="atLeast"/>
    </w:pPr>
    <w:rPr>
      <w:rFonts w:ascii="宋体" w:hAnsi="宋体" w:eastAsia="宋体" w:cs="宋体"/>
      <w:kern w:val="0"/>
      <w:sz w:val="24"/>
      <w:szCs w:val="24"/>
    </w:rPr>
  </w:style>
  <w:style w:type="paragraph" w:customStyle="1" w:styleId="411">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412">
    <w:name w:val="pa-129"/>
    <w:basedOn w:val="1"/>
    <w:qFormat/>
    <w:uiPriority w:val="0"/>
    <w:pPr>
      <w:widowControl/>
      <w:spacing w:line="300" w:lineRule="atLeast"/>
    </w:pPr>
    <w:rPr>
      <w:rFonts w:ascii="宋体" w:hAnsi="宋体" w:eastAsia="宋体" w:cs="宋体"/>
      <w:kern w:val="0"/>
      <w:sz w:val="24"/>
      <w:szCs w:val="24"/>
    </w:rPr>
  </w:style>
  <w:style w:type="paragraph" w:customStyle="1" w:styleId="413">
    <w:name w:val="pa-134"/>
    <w:basedOn w:val="1"/>
    <w:qFormat/>
    <w:uiPriority w:val="0"/>
    <w:pPr>
      <w:widowControl/>
      <w:spacing w:line="360" w:lineRule="atLeast"/>
    </w:pPr>
    <w:rPr>
      <w:rFonts w:ascii="宋体" w:hAnsi="宋体" w:eastAsia="宋体" w:cs="宋体"/>
      <w:kern w:val="0"/>
      <w:sz w:val="24"/>
      <w:szCs w:val="24"/>
    </w:rPr>
  </w:style>
  <w:style w:type="paragraph" w:customStyle="1" w:styleId="414">
    <w:name w:val="ca-49"/>
    <w:basedOn w:val="1"/>
    <w:qFormat/>
    <w:uiPriority w:val="0"/>
    <w:pPr>
      <w:widowControl/>
      <w:jc w:val="left"/>
    </w:pPr>
    <w:rPr>
      <w:rFonts w:ascii="宋体" w:hAnsi="宋体" w:eastAsia="宋体" w:cs="宋体"/>
      <w:kern w:val="0"/>
      <w:sz w:val="32"/>
      <w:szCs w:val="32"/>
    </w:rPr>
  </w:style>
  <w:style w:type="paragraph" w:customStyle="1" w:styleId="415">
    <w:name w:val="pa-61"/>
    <w:basedOn w:val="1"/>
    <w:qFormat/>
    <w:uiPriority w:val="0"/>
    <w:pPr>
      <w:widowControl/>
      <w:spacing w:line="240" w:lineRule="atLeast"/>
    </w:pPr>
    <w:rPr>
      <w:rFonts w:ascii="宋体" w:hAnsi="宋体" w:eastAsia="宋体" w:cs="宋体"/>
      <w:kern w:val="0"/>
      <w:sz w:val="24"/>
      <w:szCs w:val="24"/>
    </w:rPr>
  </w:style>
  <w:style w:type="paragraph" w:customStyle="1" w:styleId="416">
    <w:name w:val="pa-13"/>
    <w:basedOn w:val="1"/>
    <w:qFormat/>
    <w:uiPriority w:val="0"/>
    <w:pPr>
      <w:widowControl/>
      <w:spacing w:line="360" w:lineRule="atLeast"/>
    </w:pPr>
    <w:rPr>
      <w:rFonts w:ascii="宋体" w:hAnsi="宋体" w:eastAsia="宋体" w:cs="宋体"/>
      <w:kern w:val="0"/>
      <w:sz w:val="24"/>
      <w:szCs w:val="24"/>
    </w:rPr>
  </w:style>
  <w:style w:type="paragraph" w:customStyle="1" w:styleId="41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418">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419">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20">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421">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422">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423">
    <w:name w:val="pa-66"/>
    <w:basedOn w:val="1"/>
    <w:qFormat/>
    <w:uiPriority w:val="0"/>
    <w:pPr>
      <w:widowControl/>
      <w:spacing w:line="240" w:lineRule="atLeast"/>
      <w:ind w:firstLine="200"/>
    </w:pPr>
    <w:rPr>
      <w:rFonts w:ascii="宋体" w:hAnsi="宋体" w:eastAsia="宋体" w:cs="宋体"/>
      <w:kern w:val="0"/>
      <w:sz w:val="24"/>
      <w:szCs w:val="24"/>
    </w:rPr>
  </w:style>
  <w:style w:type="paragraph" w:styleId="42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5">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426">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427">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428">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42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430">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31">
    <w:name w:val="_Style 430"/>
    <w:basedOn w:val="2"/>
    <w:next w:val="1"/>
    <w:qFormat/>
    <w:uiPriority w:val="39"/>
    <w:pPr>
      <w:spacing w:before="340" w:after="330" w:line="576" w:lineRule="auto"/>
      <w:outlineLvl w:val="9"/>
    </w:pPr>
    <w:rPr>
      <w:rFonts w:ascii="Calibri" w:hAnsi="Calibri"/>
      <w:sz w:val="44"/>
    </w:rPr>
  </w:style>
  <w:style w:type="paragraph" w:customStyle="1" w:styleId="432">
    <w:name w:val="pa-109"/>
    <w:basedOn w:val="1"/>
    <w:qFormat/>
    <w:uiPriority w:val="0"/>
    <w:pPr>
      <w:widowControl/>
      <w:spacing w:line="280" w:lineRule="atLeast"/>
    </w:pPr>
    <w:rPr>
      <w:rFonts w:ascii="宋体" w:hAnsi="宋体" w:eastAsia="宋体" w:cs="宋体"/>
      <w:kern w:val="0"/>
      <w:sz w:val="24"/>
      <w:szCs w:val="24"/>
    </w:rPr>
  </w:style>
  <w:style w:type="paragraph" w:customStyle="1" w:styleId="43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434">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435">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436">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37">
    <w:name w:val="ca-36"/>
    <w:basedOn w:val="1"/>
    <w:qFormat/>
    <w:uiPriority w:val="0"/>
    <w:pPr>
      <w:widowControl/>
      <w:jc w:val="left"/>
    </w:pPr>
    <w:rPr>
      <w:rFonts w:ascii="宋体" w:hAnsi="宋体" w:eastAsia="宋体" w:cs="宋体"/>
      <w:b/>
      <w:bCs/>
      <w:spacing w:val="-20"/>
      <w:kern w:val="0"/>
      <w:szCs w:val="21"/>
    </w:rPr>
  </w:style>
  <w:style w:type="paragraph" w:customStyle="1" w:styleId="438">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439">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440">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441">
    <w:name w:val="ca-25"/>
    <w:basedOn w:val="1"/>
    <w:qFormat/>
    <w:uiPriority w:val="0"/>
    <w:pPr>
      <w:widowControl/>
      <w:jc w:val="left"/>
    </w:pPr>
    <w:rPr>
      <w:rFonts w:ascii="Times New Roman" w:hAnsi="Times New Roman" w:eastAsia="宋体" w:cs="Times New Roman"/>
      <w:kern w:val="0"/>
      <w:szCs w:val="21"/>
    </w:rPr>
  </w:style>
  <w:style w:type="paragraph" w:customStyle="1" w:styleId="442">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443">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444">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45">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446">
    <w:name w:val="pa-89"/>
    <w:basedOn w:val="1"/>
    <w:qFormat/>
    <w:uiPriority w:val="0"/>
    <w:pPr>
      <w:widowControl/>
      <w:spacing w:line="320" w:lineRule="atLeast"/>
    </w:pPr>
    <w:rPr>
      <w:rFonts w:ascii="宋体" w:hAnsi="宋体" w:eastAsia="宋体" w:cs="宋体"/>
      <w:kern w:val="0"/>
      <w:sz w:val="24"/>
      <w:szCs w:val="24"/>
    </w:rPr>
  </w:style>
  <w:style w:type="paragraph" w:customStyle="1" w:styleId="447">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48">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49">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50">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451">
    <w:name w:val="pa-77"/>
    <w:basedOn w:val="1"/>
    <w:qFormat/>
    <w:uiPriority w:val="0"/>
    <w:pPr>
      <w:widowControl/>
      <w:spacing w:line="360" w:lineRule="atLeast"/>
    </w:pPr>
    <w:rPr>
      <w:rFonts w:ascii="宋体" w:hAnsi="宋体" w:eastAsia="宋体" w:cs="宋体"/>
      <w:kern w:val="0"/>
      <w:sz w:val="24"/>
      <w:szCs w:val="24"/>
    </w:rPr>
  </w:style>
  <w:style w:type="paragraph" w:customStyle="1" w:styleId="452">
    <w:name w:val="Char Char Char Char"/>
    <w:basedOn w:val="1"/>
    <w:qFormat/>
    <w:uiPriority w:val="0"/>
    <w:rPr>
      <w:rFonts w:ascii="Times New Roman" w:hAnsi="Times New Roman" w:eastAsia="宋体" w:cs="Times New Roman"/>
      <w:szCs w:val="24"/>
    </w:rPr>
  </w:style>
  <w:style w:type="paragraph" w:customStyle="1" w:styleId="453">
    <w:name w:val="Char Char Char Char Char Char"/>
    <w:basedOn w:val="1"/>
    <w:qFormat/>
    <w:uiPriority w:val="0"/>
    <w:rPr>
      <w:rFonts w:ascii="Times New Roman" w:hAnsi="Times New Roman" w:eastAsia="宋体" w:cs="Times New Roman"/>
      <w:szCs w:val="24"/>
    </w:rPr>
  </w:style>
  <w:style w:type="paragraph" w:customStyle="1" w:styleId="454">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455">
    <w:name w:val="ca-44"/>
    <w:basedOn w:val="1"/>
    <w:qFormat/>
    <w:uiPriority w:val="0"/>
    <w:pPr>
      <w:widowControl/>
      <w:jc w:val="left"/>
    </w:pPr>
    <w:rPr>
      <w:rFonts w:ascii="宋体" w:hAnsi="宋体" w:eastAsia="宋体" w:cs="宋体"/>
      <w:color w:val="000000"/>
      <w:kern w:val="0"/>
      <w:sz w:val="52"/>
      <w:szCs w:val="52"/>
    </w:rPr>
  </w:style>
  <w:style w:type="paragraph" w:customStyle="1" w:styleId="456">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57">
    <w:name w:val="Char Char Char Char Char Char Char"/>
    <w:basedOn w:val="1"/>
    <w:qFormat/>
    <w:uiPriority w:val="0"/>
    <w:rPr>
      <w:rFonts w:ascii="Times New Roman" w:hAnsi="Times New Roman" w:eastAsia="宋体" w:cs="Times New Roman"/>
      <w:szCs w:val="24"/>
    </w:rPr>
  </w:style>
  <w:style w:type="paragraph" w:customStyle="1" w:styleId="458">
    <w:name w:val="Char2"/>
    <w:basedOn w:val="14"/>
    <w:qFormat/>
    <w:uiPriority w:val="0"/>
    <w:rPr>
      <w:rFonts w:ascii="Tahoma" w:hAnsi="Tahoma"/>
      <w:sz w:val="24"/>
    </w:rPr>
  </w:style>
  <w:style w:type="paragraph" w:customStyle="1" w:styleId="459">
    <w:name w:val="pa-90"/>
    <w:basedOn w:val="1"/>
    <w:qFormat/>
    <w:uiPriority w:val="0"/>
    <w:pPr>
      <w:widowControl/>
      <w:spacing w:line="280" w:lineRule="atLeast"/>
    </w:pPr>
    <w:rPr>
      <w:rFonts w:ascii="宋体" w:hAnsi="宋体" w:eastAsia="宋体" w:cs="宋体"/>
      <w:kern w:val="0"/>
      <w:sz w:val="24"/>
      <w:szCs w:val="24"/>
    </w:rPr>
  </w:style>
  <w:style w:type="paragraph" w:customStyle="1" w:styleId="460">
    <w:name w:val="style9"/>
    <w:basedOn w:val="1"/>
    <w:qFormat/>
    <w:uiPriority w:val="0"/>
    <w:pPr>
      <w:widowControl/>
      <w:spacing w:before="100" w:beforeAutospacing="1" w:after="100" w:afterAutospacing="1" w:line="360" w:lineRule="atLeast"/>
      <w:jc w:val="left"/>
    </w:pPr>
    <w:rPr>
      <w:rFonts w:hint="eastAsia" w:ascii="宋体" w:hAnsi="宋体"/>
      <w:color w:val="000000"/>
      <w:spacing w:val="15"/>
      <w:kern w:val="0"/>
      <w:sz w:val="24"/>
    </w:rPr>
  </w:style>
  <w:style w:type="paragraph" w:customStyle="1" w:styleId="46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62">
    <w:name w:val="Char Char1 Char"/>
    <w:basedOn w:val="1"/>
    <w:qFormat/>
    <w:uiPriority w:val="0"/>
    <w:rPr>
      <w:rFonts w:ascii="Times New Roman" w:hAnsi="Times New Roman" w:eastAsia="宋体" w:cs="Times New Roman"/>
      <w:szCs w:val="24"/>
    </w:rPr>
  </w:style>
  <w:style w:type="paragraph" w:customStyle="1" w:styleId="46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6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65">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66">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67">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8">
    <w:name w:val="pa-115"/>
    <w:basedOn w:val="1"/>
    <w:qFormat/>
    <w:uiPriority w:val="0"/>
    <w:pPr>
      <w:widowControl/>
      <w:spacing w:line="480" w:lineRule="atLeast"/>
    </w:pPr>
    <w:rPr>
      <w:rFonts w:ascii="宋体" w:hAnsi="宋体" w:eastAsia="宋体" w:cs="宋体"/>
      <w:kern w:val="0"/>
      <w:sz w:val="24"/>
      <w:szCs w:val="24"/>
    </w:rPr>
  </w:style>
  <w:style w:type="paragraph" w:customStyle="1" w:styleId="469">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70">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71">
    <w:name w:val="ca-23"/>
    <w:basedOn w:val="1"/>
    <w:qFormat/>
    <w:uiPriority w:val="0"/>
    <w:pPr>
      <w:widowControl/>
      <w:jc w:val="left"/>
    </w:pPr>
    <w:rPr>
      <w:rFonts w:ascii="Times New Roman" w:hAnsi="Times New Roman" w:eastAsia="宋体" w:cs="Times New Roman"/>
      <w:kern w:val="0"/>
      <w:szCs w:val="21"/>
    </w:rPr>
  </w:style>
  <w:style w:type="paragraph" w:customStyle="1" w:styleId="472">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73">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74">
    <w:name w:val="pa-100"/>
    <w:basedOn w:val="1"/>
    <w:qFormat/>
    <w:uiPriority w:val="0"/>
    <w:pPr>
      <w:widowControl/>
      <w:spacing w:line="300" w:lineRule="atLeast"/>
    </w:pPr>
    <w:rPr>
      <w:rFonts w:ascii="宋体" w:hAnsi="宋体" w:eastAsia="宋体" w:cs="宋体"/>
      <w:kern w:val="0"/>
      <w:sz w:val="24"/>
      <w:szCs w:val="24"/>
    </w:rPr>
  </w:style>
  <w:style w:type="paragraph" w:customStyle="1" w:styleId="475">
    <w:name w:val="ca-15"/>
    <w:basedOn w:val="1"/>
    <w:qFormat/>
    <w:uiPriority w:val="0"/>
    <w:pPr>
      <w:widowControl/>
      <w:jc w:val="left"/>
    </w:pPr>
    <w:rPr>
      <w:rFonts w:ascii="宋体" w:hAnsi="宋体" w:eastAsia="宋体" w:cs="宋体"/>
      <w:caps/>
      <w:color w:val="000000"/>
      <w:kern w:val="0"/>
      <w:sz w:val="24"/>
      <w:szCs w:val="24"/>
    </w:rPr>
  </w:style>
  <w:style w:type="paragraph" w:customStyle="1" w:styleId="476">
    <w:name w:val="pa-124"/>
    <w:basedOn w:val="1"/>
    <w:qFormat/>
    <w:uiPriority w:val="0"/>
    <w:pPr>
      <w:widowControl/>
      <w:spacing w:line="760" w:lineRule="atLeast"/>
    </w:pPr>
    <w:rPr>
      <w:rFonts w:ascii="宋体" w:hAnsi="宋体" w:eastAsia="宋体" w:cs="宋体"/>
      <w:kern w:val="0"/>
      <w:sz w:val="24"/>
      <w:szCs w:val="24"/>
    </w:rPr>
  </w:style>
  <w:style w:type="paragraph" w:customStyle="1" w:styleId="477">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78">
    <w:name w:val="pa-40"/>
    <w:basedOn w:val="1"/>
    <w:qFormat/>
    <w:uiPriority w:val="0"/>
    <w:pPr>
      <w:widowControl/>
      <w:spacing w:line="280" w:lineRule="atLeast"/>
    </w:pPr>
    <w:rPr>
      <w:rFonts w:ascii="宋体" w:hAnsi="宋体" w:eastAsia="宋体" w:cs="宋体"/>
      <w:kern w:val="0"/>
      <w:sz w:val="24"/>
      <w:szCs w:val="24"/>
    </w:rPr>
  </w:style>
  <w:style w:type="paragraph" w:customStyle="1" w:styleId="479">
    <w:name w:val="pa-80"/>
    <w:basedOn w:val="1"/>
    <w:qFormat/>
    <w:uiPriority w:val="0"/>
    <w:pPr>
      <w:widowControl/>
      <w:spacing w:line="360" w:lineRule="atLeast"/>
    </w:pPr>
    <w:rPr>
      <w:rFonts w:ascii="宋体" w:hAnsi="宋体" w:eastAsia="宋体" w:cs="宋体"/>
      <w:kern w:val="0"/>
      <w:sz w:val="24"/>
      <w:szCs w:val="24"/>
    </w:rPr>
  </w:style>
  <w:style w:type="paragraph" w:customStyle="1" w:styleId="480">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81">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82">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83">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84">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85">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86">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87">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88">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89">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90">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91">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92">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93">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94">
    <w:name w:val="List Paragraph1"/>
    <w:basedOn w:val="1"/>
    <w:qFormat/>
    <w:uiPriority w:val="34"/>
    <w:pPr>
      <w:ind w:firstLine="420" w:firstLineChars="200"/>
    </w:pPr>
    <w:rPr>
      <w:rFonts w:ascii="Calibri" w:hAnsi="Calibri" w:eastAsia="宋体" w:cs="Times New Roman"/>
    </w:rPr>
  </w:style>
  <w:style w:type="paragraph" w:customStyle="1" w:styleId="49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96">
    <w:name w:val="目录 71"/>
    <w:basedOn w:val="1"/>
    <w:next w:val="1"/>
    <w:semiHidden/>
    <w:qFormat/>
    <w:uiPriority w:val="0"/>
    <w:pPr>
      <w:ind w:left="2520" w:leftChars="1200"/>
    </w:pPr>
    <w:rPr>
      <w:rFonts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浙江钱塘江水利建筑工程有限公司</Company>
  <Pages>44</Pages>
  <Words>17804</Words>
  <Characters>18800</Characters>
  <Lines>46</Lines>
  <Paragraphs>13</Paragraphs>
  <TotalTime>2</TotalTime>
  <ScaleCrop>false</ScaleCrop>
  <LinksUpToDate>false</LinksUpToDate>
  <CharactersWithSpaces>20652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2021-10-29T04:18:00Z</dcterms:created>
  <dc:creator>刘坚1991</dc:creator>
  <cp:lastModifiedBy>王旋</cp:lastModifiedBy>
  <cp:lastPrinted>2023-12-28T02:45:00Z</cp:lastPrinted>
  <dcterms:modified xsi:type="dcterms:W3CDTF">2026-08-13T07:11:10Z</dcterms:modified>
  <dc:title>采购文件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7ECFAD3F4F72489EB255002FA27BAC9E_13</vt:lpwstr>
  </property>
  <property fmtid="{D5CDD505-2E9C-101B-9397-08002B2CF9AE}" pid="4" name="KSOTemplateDocerSaveRecord">
    <vt:lpwstr>eyJoZGlkIjoiYTQyNTA1ZDBlMGU3ODgwMDMwZDYxNWVjZjY5YzhhN2UiLCJ1c2VySWQiOiIxNzgzMzc2MTk3In0=</vt:lpwstr>
  </property>
</Properties>
</file>